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F36ADD">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t> </w:t>
      </w:r>
      <w:r>
        <w:rPr>
          <w:rStyle w:val="s1"/>
        </w:rPr>
        <w:br/>
        <w:t>СП РК 3.01-105-2013</w:t>
      </w:r>
      <w:r>
        <w:rPr>
          <w:rStyle w:val="s1"/>
        </w:rPr>
        <w:br/>
        <w:t>Благоустройство территорий населенных пунктов</w:t>
      </w:r>
      <w:r>
        <w:rPr>
          <w:rStyle w:val="s1"/>
        </w:rPr>
        <w:br/>
      </w:r>
      <w:r>
        <w:rPr>
          <w:rStyle w:val="s1"/>
        </w:rPr>
        <w:br/>
        <w:t>Improvement of the territory of settlments</w:t>
      </w:r>
    </w:p>
    <w:p w:rsidR="00000000" w:rsidRDefault="00F36ADD">
      <w:pPr>
        <w:jc w:val="center"/>
      </w:pPr>
      <w:r>
        <w:rPr>
          <w:rStyle w:val="s3"/>
        </w:rPr>
        <w:t xml:space="preserve">(с </w:t>
      </w:r>
      <w:hyperlink r:id="rId6" w:history="1">
        <w:r>
          <w:rPr>
            <w:rStyle w:val="a4"/>
            <w:i/>
            <w:iCs/>
          </w:rPr>
          <w:t>изменениями и дополнениями</w:t>
        </w:r>
      </w:hyperlink>
      <w:r>
        <w:rPr>
          <w:rStyle w:val="s3"/>
        </w:rPr>
        <w:t xml:space="preserve"> по состоянию на 10.01.2020 г.)</w:t>
      </w:r>
    </w:p>
    <w:p w:rsidR="00000000" w:rsidRDefault="00F36ADD">
      <w:pPr>
        <w:ind w:firstLine="426"/>
      </w:pPr>
      <w:r>
        <w:rPr>
          <w:b/>
          <w:bCs/>
        </w:rPr>
        <w:t> </w:t>
      </w:r>
    </w:p>
    <w:p w:rsidR="00000000" w:rsidRDefault="00F36ADD">
      <w:pPr>
        <w:ind w:firstLine="426"/>
      </w:pPr>
      <w:r>
        <w:t> </w:t>
      </w:r>
    </w:p>
    <w:p w:rsidR="00000000" w:rsidRDefault="00F36ADD">
      <w:pPr>
        <w:jc w:val="center"/>
      </w:pPr>
      <w:r>
        <w:rPr>
          <w:rStyle w:val="s1"/>
        </w:rPr>
        <w:t>СОДЕРЖАНИЕ</w:t>
      </w:r>
    </w:p>
    <w:p w:rsidR="00000000" w:rsidRDefault="00F36ADD">
      <w:pPr>
        <w:ind w:firstLine="426"/>
      </w:pPr>
      <w:r>
        <w:t> </w:t>
      </w:r>
    </w:p>
    <w:p w:rsidR="00000000" w:rsidRDefault="00F36ADD">
      <w:pPr>
        <w:ind w:firstLine="426"/>
        <w:jc w:val="both"/>
      </w:pPr>
      <w:hyperlink r:id="rId7" w:anchor="sub_id=10" w:history="1">
        <w:r>
          <w:rPr>
            <w:rStyle w:val="a4"/>
          </w:rPr>
          <w:t>ВВЕДЕНИЕ</w:t>
        </w:r>
      </w:hyperlink>
    </w:p>
    <w:p w:rsidR="00000000" w:rsidRDefault="00F36ADD">
      <w:pPr>
        <w:ind w:firstLine="426"/>
        <w:jc w:val="both"/>
      </w:pPr>
      <w:hyperlink r:id="rId8" w:anchor="sub_id=100" w:history="1">
        <w:r>
          <w:rPr>
            <w:rStyle w:val="a4"/>
          </w:rPr>
          <w:t>1. ОБЛАСТЬ ПРИМЕНЕНИЯ</w:t>
        </w:r>
      </w:hyperlink>
    </w:p>
    <w:p w:rsidR="00000000" w:rsidRDefault="00F36ADD">
      <w:pPr>
        <w:ind w:firstLine="426"/>
        <w:jc w:val="both"/>
      </w:pPr>
      <w:hyperlink r:id="rId9" w:anchor="sub_id=200" w:history="1">
        <w:r>
          <w:rPr>
            <w:rStyle w:val="a4"/>
          </w:rPr>
          <w:t>2. НОРМАТИВНЫЕ ССЫЛКИ</w:t>
        </w:r>
      </w:hyperlink>
    </w:p>
    <w:p w:rsidR="00000000" w:rsidRDefault="00F36ADD">
      <w:pPr>
        <w:ind w:firstLine="426"/>
        <w:jc w:val="both"/>
      </w:pPr>
      <w:hyperlink r:id="rId10" w:anchor="sub_id=300" w:history="1">
        <w:r>
          <w:rPr>
            <w:rStyle w:val="a4"/>
          </w:rPr>
          <w:t>3. ТЕРМИНЫ И ОПРЕДЕЛЕНИЯ</w:t>
        </w:r>
      </w:hyperlink>
    </w:p>
    <w:p w:rsidR="00000000" w:rsidRDefault="00F36ADD">
      <w:pPr>
        <w:ind w:firstLine="426"/>
        <w:jc w:val="both"/>
      </w:pPr>
      <w:hyperlink r:id="rId11" w:anchor="sub_id=400" w:history="1">
        <w:r>
          <w:rPr>
            <w:rStyle w:val="a4"/>
          </w:rPr>
          <w:t>4. ПРОЕКТИРОВАНИЕ ЭЛЕМЕНТОВ КОМПЛЕКСНОГО БЛАГОУСТРОЙСТВА</w:t>
        </w:r>
      </w:hyperlink>
    </w:p>
    <w:p w:rsidR="00000000" w:rsidRDefault="00F36ADD">
      <w:pPr>
        <w:ind w:firstLine="426"/>
        <w:jc w:val="both"/>
      </w:pPr>
      <w:hyperlink r:id="rId12" w:anchor="sub_id=400" w:history="1">
        <w:r>
          <w:rPr>
            <w:rStyle w:val="a4"/>
            <w:color w:val="0000FF"/>
            <w:u w:val="single"/>
          </w:rPr>
          <w:t>4.1 Элем</w:t>
        </w:r>
        <w:r>
          <w:rPr>
            <w:rStyle w:val="a4"/>
            <w:color w:val="0000FF"/>
            <w:u w:val="single"/>
          </w:rPr>
          <w:t>енты инженерной подготовки и защиты территории</w:t>
        </w:r>
      </w:hyperlink>
    </w:p>
    <w:p w:rsidR="00000000" w:rsidRDefault="00F36ADD">
      <w:pPr>
        <w:ind w:firstLine="426"/>
        <w:jc w:val="both"/>
      </w:pPr>
      <w:hyperlink r:id="rId13" w:anchor="sub_id=402" w:history="1">
        <w:r>
          <w:rPr>
            <w:rStyle w:val="a4"/>
            <w:color w:val="0000FF"/>
            <w:u w:val="single"/>
          </w:rPr>
          <w:t>4.2 Озеленение территорий</w:t>
        </w:r>
      </w:hyperlink>
    </w:p>
    <w:p w:rsidR="00000000" w:rsidRDefault="00F36ADD">
      <w:pPr>
        <w:ind w:firstLine="426"/>
        <w:jc w:val="both"/>
      </w:pPr>
      <w:hyperlink r:id="rId14" w:anchor="sub_id=403" w:history="1">
        <w:r>
          <w:rPr>
            <w:rStyle w:val="a4"/>
            <w:color w:val="0000FF"/>
            <w:u w:val="single"/>
          </w:rPr>
          <w:t>4.3 Виды покрытий</w:t>
        </w:r>
      </w:hyperlink>
    </w:p>
    <w:p w:rsidR="00000000" w:rsidRDefault="00F36ADD">
      <w:pPr>
        <w:ind w:firstLine="426"/>
        <w:jc w:val="both"/>
      </w:pPr>
      <w:hyperlink r:id="rId15" w:anchor="sub_id=404" w:history="1">
        <w:r>
          <w:rPr>
            <w:rStyle w:val="a4"/>
            <w:color w:val="0000FF"/>
            <w:u w:val="single"/>
          </w:rPr>
          <w:t>4.4 Сопряжение поверхностей</w:t>
        </w:r>
      </w:hyperlink>
    </w:p>
    <w:p w:rsidR="00000000" w:rsidRDefault="00F36ADD">
      <w:pPr>
        <w:ind w:firstLine="426"/>
        <w:jc w:val="both"/>
      </w:pPr>
      <w:hyperlink r:id="rId16" w:anchor="sub_id=405" w:history="1">
        <w:r>
          <w:rPr>
            <w:rStyle w:val="a4"/>
            <w:color w:val="0000FF"/>
            <w:u w:val="single"/>
          </w:rPr>
          <w:t>4.5 Ограждения</w:t>
        </w:r>
      </w:hyperlink>
    </w:p>
    <w:p w:rsidR="00000000" w:rsidRDefault="00F36ADD">
      <w:pPr>
        <w:ind w:firstLine="426"/>
        <w:jc w:val="both"/>
      </w:pPr>
      <w:hyperlink r:id="rId17" w:anchor="sub_id=406" w:history="1">
        <w:r>
          <w:rPr>
            <w:rStyle w:val="a4"/>
            <w:color w:val="0000FF"/>
            <w:u w:val="single"/>
          </w:rPr>
          <w:t>4.6 Малые архитектурные формы</w:t>
        </w:r>
      </w:hyperlink>
    </w:p>
    <w:p w:rsidR="00000000" w:rsidRDefault="00F36ADD">
      <w:pPr>
        <w:ind w:firstLine="426"/>
        <w:jc w:val="both"/>
      </w:pPr>
      <w:hyperlink r:id="rId18" w:anchor="sub_id=407" w:history="1">
        <w:r>
          <w:rPr>
            <w:rStyle w:val="a4"/>
            <w:color w:val="0000FF"/>
            <w:u w:val="single"/>
          </w:rPr>
          <w:t>4.7 Игровое и спортивное оборудование</w:t>
        </w:r>
      </w:hyperlink>
    </w:p>
    <w:p w:rsidR="00000000" w:rsidRDefault="00F36ADD">
      <w:pPr>
        <w:ind w:firstLine="426"/>
        <w:jc w:val="both"/>
      </w:pPr>
      <w:hyperlink r:id="rId19" w:anchor="sub_id=408" w:history="1">
        <w:r>
          <w:rPr>
            <w:rStyle w:val="a4"/>
            <w:color w:val="0000FF"/>
            <w:u w:val="single"/>
          </w:rPr>
          <w:t>4.8 Освещение и осветительное оборудование</w:t>
        </w:r>
      </w:hyperlink>
    </w:p>
    <w:p w:rsidR="00000000" w:rsidRDefault="00F36ADD">
      <w:pPr>
        <w:ind w:firstLine="426"/>
        <w:jc w:val="both"/>
      </w:pPr>
      <w:hyperlink r:id="rId20" w:anchor="sub_id=409" w:history="1">
        <w:r>
          <w:rPr>
            <w:rStyle w:val="a4"/>
            <w:color w:val="0000FF"/>
            <w:u w:val="single"/>
          </w:rPr>
          <w:t>4.9 Средства наружной рекламы и информации</w:t>
        </w:r>
      </w:hyperlink>
    </w:p>
    <w:p w:rsidR="00000000" w:rsidRDefault="00F36ADD">
      <w:pPr>
        <w:ind w:firstLine="426"/>
        <w:jc w:val="both"/>
      </w:pPr>
      <w:hyperlink r:id="rId21" w:anchor="sub_id=410" w:history="1">
        <w:r>
          <w:rPr>
            <w:rStyle w:val="a4"/>
            <w:color w:val="0000FF"/>
            <w:u w:val="single"/>
          </w:rPr>
          <w:t>4.10 Некапитальные нестационарные сооружения</w:t>
        </w:r>
      </w:hyperlink>
    </w:p>
    <w:p w:rsidR="00000000" w:rsidRDefault="00F36ADD">
      <w:pPr>
        <w:ind w:firstLine="426"/>
        <w:jc w:val="both"/>
      </w:pPr>
      <w:hyperlink r:id="rId22" w:anchor="sub_id=411" w:history="1">
        <w:r>
          <w:rPr>
            <w:rStyle w:val="a4"/>
            <w:color w:val="0000FF"/>
            <w:u w:val="single"/>
          </w:rPr>
          <w:t>4.11 Оформление и оборудование зданий и сооружений</w:t>
        </w:r>
      </w:hyperlink>
    </w:p>
    <w:p w:rsidR="00000000" w:rsidRDefault="00F36ADD">
      <w:pPr>
        <w:ind w:firstLine="426"/>
        <w:jc w:val="both"/>
      </w:pPr>
      <w:hyperlink r:id="rId23" w:anchor="sub_id=412" w:history="1">
        <w:r>
          <w:rPr>
            <w:rStyle w:val="a4"/>
            <w:color w:val="0000FF"/>
            <w:u w:val="single"/>
          </w:rPr>
          <w:t>4.12 Площадки</w:t>
        </w:r>
      </w:hyperlink>
    </w:p>
    <w:p w:rsidR="00000000" w:rsidRDefault="00F36ADD">
      <w:pPr>
        <w:ind w:firstLine="426"/>
        <w:jc w:val="both"/>
      </w:pPr>
      <w:hyperlink r:id="rId24" w:anchor="sub_id=413" w:history="1">
        <w:r>
          <w:rPr>
            <w:rStyle w:val="a4"/>
            <w:color w:val="0000FF"/>
            <w:u w:val="single"/>
          </w:rPr>
          <w:t>4.13 Пешеходные коммуникации</w:t>
        </w:r>
      </w:hyperlink>
    </w:p>
    <w:p w:rsidR="00000000" w:rsidRDefault="00F36ADD">
      <w:pPr>
        <w:ind w:firstLine="426"/>
        <w:jc w:val="both"/>
      </w:pPr>
      <w:hyperlink r:id="rId25" w:anchor="sub_id=414" w:history="1">
        <w:r>
          <w:rPr>
            <w:rStyle w:val="a4"/>
            <w:color w:val="0000FF"/>
            <w:u w:val="single"/>
          </w:rPr>
          <w:t>4.14 Транспортные проезды</w:t>
        </w:r>
      </w:hyperlink>
    </w:p>
    <w:p w:rsidR="00000000" w:rsidRDefault="00F36ADD">
      <w:pPr>
        <w:ind w:firstLine="426"/>
        <w:jc w:val="both"/>
      </w:pPr>
      <w:hyperlink r:id="rId26" w:anchor="sub_id=500" w:history="1">
        <w:r>
          <w:rPr>
            <w:rStyle w:val="a4"/>
            <w:color w:val="0000FF"/>
            <w:u w:val="single"/>
          </w:rPr>
          <w:t>5. ПРОЕКТИРОВАНИЕ КОМПЛЕКСНОГО БЛАГОУСТРОЙСТВА НА ТЕРРИТОРИЯХ ОБЩЕСТВЕННОГО НАЗНАЧЕНИЯ</w:t>
        </w:r>
      </w:hyperlink>
    </w:p>
    <w:p w:rsidR="00000000" w:rsidRDefault="00F36ADD">
      <w:pPr>
        <w:ind w:firstLine="426"/>
        <w:jc w:val="both"/>
      </w:pPr>
      <w:hyperlink r:id="rId27" w:anchor="sub_id=500" w:history="1">
        <w:r>
          <w:rPr>
            <w:rStyle w:val="a4"/>
            <w:color w:val="0000FF"/>
            <w:u w:val="single"/>
          </w:rPr>
          <w:t>5.1 Общественные пространства</w:t>
        </w:r>
      </w:hyperlink>
    </w:p>
    <w:p w:rsidR="00000000" w:rsidRDefault="00F36ADD">
      <w:pPr>
        <w:ind w:firstLine="426"/>
        <w:jc w:val="both"/>
      </w:pPr>
      <w:hyperlink r:id="rId28" w:anchor="sub_id=502" w:history="1">
        <w:r>
          <w:rPr>
            <w:rStyle w:val="a4"/>
            <w:color w:val="0000FF"/>
            <w:u w:val="single"/>
          </w:rPr>
          <w:t>5.2 Участки и специализированные зоны общественной застройки</w:t>
        </w:r>
      </w:hyperlink>
    </w:p>
    <w:p w:rsidR="00000000" w:rsidRDefault="00F36ADD">
      <w:pPr>
        <w:ind w:firstLine="426"/>
        <w:jc w:val="both"/>
      </w:pPr>
      <w:hyperlink r:id="rId29" w:anchor="sub_id=600" w:history="1">
        <w:r>
          <w:rPr>
            <w:rStyle w:val="a4"/>
            <w:color w:val="0000FF"/>
            <w:u w:val="single"/>
          </w:rPr>
          <w:t>6. ПРОЕКТИРОВАНИЕ КОМПЛЕКСНОГО БЛ</w:t>
        </w:r>
        <w:r>
          <w:rPr>
            <w:rStyle w:val="a4"/>
            <w:color w:val="0000FF"/>
            <w:u w:val="single"/>
          </w:rPr>
          <w:t>АГОУСТРОЙСТВА НА ТЕРРИТОРИЯХ ЖИЛОГО НАЗНАЧЕНИЯ</w:t>
        </w:r>
      </w:hyperlink>
    </w:p>
    <w:p w:rsidR="00000000" w:rsidRDefault="00F36ADD">
      <w:pPr>
        <w:ind w:firstLine="426"/>
        <w:jc w:val="both"/>
      </w:pPr>
      <w:hyperlink r:id="rId30" w:anchor="sub_id=600" w:history="1">
        <w:r>
          <w:rPr>
            <w:rStyle w:val="a4"/>
            <w:color w:val="0000FF"/>
            <w:u w:val="single"/>
          </w:rPr>
          <w:t>6.1 Общественные пространства</w:t>
        </w:r>
      </w:hyperlink>
    </w:p>
    <w:p w:rsidR="00000000" w:rsidRDefault="00F36ADD">
      <w:pPr>
        <w:ind w:firstLine="426"/>
        <w:jc w:val="both"/>
      </w:pPr>
      <w:hyperlink r:id="rId31" w:anchor="sub_id=602" w:history="1">
        <w:r>
          <w:rPr>
            <w:rStyle w:val="a4"/>
            <w:color w:val="0000FF"/>
            <w:u w:val="single"/>
          </w:rPr>
          <w:t>6.2 Участки жилой</w:t>
        </w:r>
        <w:r>
          <w:rPr>
            <w:rStyle w:val="a4"/>
            <w:color w:val="0000FF"/>
            <w:u w:val="single"/>
          </w:rPr>
          <w:t xml:space="preserve"> застройки</w:t>
        </w:r>
      </w:hyperlink>
    </w:p>
    <w:p w:rsidR="00000000" w:rsidRDefault="00F36ADD">
      <w:pPr>
        <w:ind w:firstLine="426"/>
        <w:jc w:val="both"/>
      </w:pPr>
      <w:hyperlink r:id="rId32" w:anchor="sub_id=603" w:history="1">
        <w:r>
          <w:rPr>
            <w:rStyle w:val="a4"/>
            <w:color w:val="0000FF"/>
            <w:u w:val="single"/>
          </w:rPr>
          <w:t>6.3 Участки детских садов и школ</w:t>
        </w:r>
      </w:hyperlink>
    </w:p>
    <w:p w:rsidR="00000000" w:rsidRDefault="00F36ADD">
      <w:pPr>
        <w:ind w:firstLine="426"/>
        <w:jc w:val="both"/>
      </w:pPr>
      <w:hyperlink r:id="rId33" w:anchor="sub_id=604" w:history="1">
        <w:r>
          <w:rPr>
            <w:rStyle w:val="a4"/>
            <w:color w:val="0000FF"/>
            <w:u w:val="single"/>
          </w:rPr>
          <w:t>6.4 Участок гаража - стоянки</w:t>
        </w:r>
      </w:hyperlink>
    </w:p>
    <w:p w:rsidR="00000000" w:rsidRDefault="00F36ADD">
      <w:pPr>
        <w:ind w:firstLine="426"/>
        <w:jc w:val="both"/>
      </w:pPr>
      <w:hyperlink r:id="rId34" w:anchor="sub_id=700" w:history="1">
        <w:r>
          <w:rPr>
            <w:rStyle w:val="a4"/>
            <w:color w:val="0000FF"/>
            <w:u w:val="single"/>
          </w:rPr>
          <w:t>7. ПРОЕКТИРОВАНИЕ КОМПЛЕКСНОГО БЛАГОУСТРОЙСТВА НА ТЕРРИТОРИЯХ РЕКРЕАЦИОННОГО НАЗНАЧЕНИЯ</w:t>
        </w:r>
      </w:hyperlink>
    </w:p>
    <w:p w:rsidR="00000000" w:rsidRDefault="00F36ADD">
      <w:pPr>
        <w:ind w:firstLine="426"/>
        <w:jc w:val="both"/>
      </w:pPr>
      <w:hyperlink r:id="rId35" w:anchor="sub_id=700" w:history="1">
        <w:r>
          <w:rPr>
            <w:rStyle w:val="a4"/>
            <w:color w:val="0000FF"/>
            <w:u w:val="single"/>
          </w:rPr>
          <w:t>7.1 Общие положения</w:t>
        </w:r>
      </w:hyperlink>
    </w:p>
    <w:p w:rsidR="00000000" w:rsidRDefault="00F36ADD">
      <w:pPr>
        <w:ind w:firstLine="426"/>
        <w:jc w:val="both"/>
      </w:pPr>
      <w:hyperlink r:id="rId36" w:anchor="sub_id=702" w:history="1">
        <w:r>
          <w:rPr>
            <w:rStyle w:val="a4"/>
            <w:color w:val="0000FF"/>
            <w:u w:val="single"/>
          </w:rPr>
          <w:t>7.2 Зоны отдыха</w:t>
        </w:r>
      </w:hyperlink>
    </w:p>
    <w:p w:rsidR="00000000" w:rsidRDefault="00F36ADD">
      <w:pPr>
        <w:ind w:firstLine="426"/>
        <w:jc w:val="both"/>
      </w:pPr>
      <w:hyperlink r:id="rId37" w:anchor="sub_id=703" w:history="1">
        <w:r>
          <w:rPr>
            <w:rStyle w:val="a4"/>
            <w:color w:val="0000FF"/>
            <w:u w:val="single"/>
          </w:rPr>
          <w:t>7.3 Парки</w:t>
        </w:r>
      </w:hyperlink>
    </w:p>
    <w:p w:rsidR="00000000" w:rsidRDefault="00F36ADD">
      <w:pPr>
        <w:ind w:firstLine="426"/>
        <w:jc w:val="both"/>
      </w:pPr>
      <w:hyperlink r:id="rId38" w:anchor="sub_id=704" w:history="1">
        <w:r>
          <w:rPr>
            <w:rStyle w:val="a4"/>
            <w:color w:val="0000FF"/>
            <w:u w:val="single"/>
          </w:rPr>
          <w:t>7.4 Сады</w:t>
        </w:r>
      </w:hyperlink>
    </w:p>
    <w:p w:rsidR="00000000" w:rsidRDefault="00F36ADD">
      <w:pPr>
        <w:ind w:firstLine="426"/>
        <w:jc w:val="both"/>
      </w:pPr>
      <w:hyperlink r:id="rId39" w:anchor="sub_id=705" w:history="1">
        <w:r>
          <w:rPr>
            <w:rStyle w:val="a4"/>
            <w:color w:val="0000FF"/>
            <w:u w:val="single"/>
          </w:rPr>
          <w:t>7.5 Бульвары, скверы</w:t>
        </w:r>
      </w:hyperlink>
    </w:p>
    <w:p w:rsidR="00000000" w:rsidRDefault="00F36ADD">
      <w:pPr>
        <w:ind w:firstLine="426"/>
        <w:jc w:val="both"/>
      </w:pPr>
      <w:hyperlink r:id="rId40" w:anchor="sub_id=800" w:history="1">
        <w:r>
          <w:rPr>
            <w:rStyle w:val="a4"/>
            <w:color w:val="0000FF"/>
            <w:u w:val="single"/>
          </w:rPr>
          <w:t>8. ПРОЕКТИРОВАНИЕ КОМПЛЕКСНОГО БЛАГОУСТРОЙСТВА НА ТЕРРИТОРИЯХ ПРОИЗВОДСТВЕННОГО НАЗНАЧЕНИЯ</w:t>
        </w:r>
      </w:hyperlink>
    </w:p>
    <w:p w:rsidR="00000000" w:rsidRDefault="00F36ADD">
      <w:pPr>
        <w:ind w:firstLine="426"/>
        <w:jc w:val="both"/>
      </w:pPr>
      <w:hyperlink r:id="rId41" w:anchor="sub_id=800" w:history="1">
        <w:r>
          <w:rPr>
            <w:rStyle w:val="a4"/>
            <w:color w:val="0000FF"/>
            <w:u w:val="single"/>
          </w:rPr>
          <w:t>8.1 Общие положения</w:t>
        </w:r>
      </w:hyperlink>
    </w:p>
    <w:p w:rsidR="00000000" w:rsidRDefault="00F36ADD">
      <w:pPr>
        <w:ind w:firstLine="426"/>
        <w:jc w:val="both"/>
      </w:pPr>
      <w:hyperlink r:id="rId42" w:anchor="sub_id=802" w:history="1">
        <w:r>
          <w:rPr>
            <w:rStyle w:val="a4"/>
            <w:color w:val="0000FF"/>
            <w:u w:val="single"/>
          </w:rPr>
          <w:t>8.2 Общественные пространства</w:t>
        </w:r>
      </w:hyperlink>
    </w:p>
    <w:p w:rsidR="00000000" w:rsidRDefault="00F36ADD">
      <w:pPr>
        <w:ind w:firstLine="426"/>
        <w:jc w:val="both"/>
      </w:pPr>
      <w:hyperlink r:id="rId43" w:anchor="sub_id=803" w:history="1">
        <w:r>
          <w:rPr>
            <w:rStyle w:val="a4"/>
            <w:color w:val="0000FF"/>
            <w:u w:val="single"/>
          </w:rPr>
          <w:t>8.3 Озелененные территории санитарно-защитных зон</w:t>
        </w:r>
      </w:hyperlink>
    </w:p>
    <w:p w:rsidR="00000000" w:rsidRDefault="00F36ADD">
      <w:pPr>
        <w:ind w:firstLine="426"/>
        <w:jc w:val="both"/>
      </w:pPr>
      <w:hyperlink r:id="rId44" w:anchor="sub_id=900" w:history="1">
        <w:r>
          <w:rPr>
            <w:rStyle w:val="a4"/>
            <w:color w:val="0000FF"/>
            <w:u w:val="single"/>
          </w:rPr>
          <w:t>9. ОБЪЕКТЫ КОМПЛЕКСНОГО БЛАГОУСТРОЙСТВА НА ТЕРРИТОРИЯХ ТРАНСПОРТНЫХ И ИНЖЕНЕРНЫХ КОММУНИКАЦИЙ ГОРОДА</w:t>
        </w:r>
      </w:hyperlink>
    </w:p>
    <w:p w:rsidR="00000000" w:rsidRDefault="00F36ADD">
      <w:pPr>
        <w:ind w:firstLine="426"/>
        <w:jc w:val="both"/>
      </w:pPr>
      <w:hyperlink r:id="rId45" w:anchor="sub_id=900" w:history="1">
        <w:r>
          <w:rPr>
            <w:rStyle w:val="a4"/>
            <w:color w:val="0000FF"/>
            <w:u w:val="single"/>
          </w:rPr>
          <w:t>9.1 Общие положения</w:t>
        </w:r>
      </w:hyperlink>
    </w:p>
    <w:p w:rsidR="00000000" w:rsidRDefault="00F36ADD">
      <w:pPr>
        <w:ind w:firstLine="426"/>
        <w:jc w:val="both"/>
      </w:pPr>
      <w:hyperlink r:id="rId46" w:anchor="sub_id=902" w:history="1">
        <w:r>
          <w:rPr>
            <w:rStyle w:val="a4"/>
            <w:color w:val="0000FF"/>
            <w:u w:val="single"/>
          </w:rPr>
          <w:t>9.2 Улицы и дороги</w:t>
        </w:r>
      </w:hyperlink>
    </w:p>
    <w:p w:rsidR="00000000" w:rsidRDefault="00F36ADD">
      <w:pPr>
        <w:ind w:firstLine="426"/>
        <w:jc w:val="both"/>
      </w:pPr>
      <w:hyperlink r:id="rId47" w:anchor="sub_id=903" w:history="1">
        <w:r>
          <w:rPr>
            <w:rStyle w:val="a4"/>
            <w:color w:val="0000FF"/>
            <w:u w:val="single"/>
          </w:rPr>
          <w:t>9.3 Площади</w:t>
        </w:r>
      </w:hyperlink>
    </w:p>
    <w:p w:rsidR="00000000" w:rsidRDefault="00F36ADD">
      <w:pPr>
        <w:ind w:firstLine="426"/>
        <w:jc w:val="both"/>
      </w:pPr>
      <w:hyperlink r:id="rId48" w:anchor="sub_id=904" w:history="1">
        <w:r>
          <w:rPr>
            <w:rStyle w:val="a4"/>
            <w:color w:val="0000FF"/>
            <w:u w:val="single"/>
          </w:rPr>
          <w:t>9.4 Пешеходные п</w:t>
        </w:r>
        <w:r>
          <w:rPr>
            <w:rStyle w:val="a4"/>
            <w:color w:val="0000FF"/>
            <w:u w:val="single"/>
          </w:rPr>
          <w:t>ереходы</w:t>
        </w:r>
      </w:hyperlink>
    </w:p>
    <w:p w:rsidR="00000000" w:rsidRDefault="00F36ADD">
      <w:pPr>
        <w:ind w:firstLine="426"/>
        <w:jc w:val="both"/>
      </w:pPr>
      <w:hyperlink r:id="rId49" w:anchor="sub_id=905" w:history="1">
        <w:r>
          <w:rPr>
            <w:rStyle w:val="a4"/>
            <w:color w:val="0000FF"/>
            <w:u w:val="single"/>
          </w:rPr>
          <w:t>9.5 Технические зоны транспортных, инженерных коммуникаций, водоохранные зоны</w:t>
        </w:r>
      </w:hyperlink>
    </w:p>
    <w:p w:rsidR="00000000" w:rsidRDefault="00F36ADD">
      <w:pPr>
        <w:ind w:firstLine="426"/>
        <w:jc w:val="both"/>
      </w:pPr>
      <w:hyperlink r:id="rId50" w:anchor="sub_id=1" w:history="1">
        <w:r>
          <w:rPr>
            <w:rStyle w:val="a4"/>
            <w:color w:val="0000FF"/>
            <w:u w:val="single"/>
          </w:rPr>
          <w:t>ПРИЛОЖЕНИЕ</w:t>
        </w:r>
        <w:r>
          <w:rPr>
            <w:rStyle w:val="a4"/>
            <w:color w:val="0000FF"/>
            <w:u w:val="single"/>
          </w:rPr>
          <w:t xml:space="preserve"> А </w:t>
        </w:r>
        <w:r>
          <w:rPr>
            <w:rStyle w:val="a4"/>
            <w:i/>
            <w:iCs/>
            <w:color w:val="0000FF"/>
            <w:u w:val="single"/>
          </w:rPr>
          <w:t>(информационное)</w:t>
        </w:r>
      </w:hyperlink>
      <w:r>
        <w:rPr>
          <w:i/>
          <w:iCs/>
        </w:rPr>
        <w:t xml:space="preserve">. </w:t>
      </w:r>
      <w:r>
        <w:t>ОЗЕЛЕНЕНИЕ ТЕРРИТОРИИ</w:t>
      </w:r>
    </w:p>
    <w:p w:rsidR="00000000" w:rsidRDefault="00F36ADD">
      <w:pPr>
        <w:ind w:firstLine="426"/>
        <w:jc w:val="both"/>
      </w:pPr>
      <w:hyperlink r:id="rId51" w:anchor="sub_id=2" w:history="1">
        <w:r>
          <w:rPr>
            <w:rStyle w:val="a4"/>
            <w:color w:val="0000FF"/>
            <w:u w:val="single"/>
          </w:rPr>
          <w:t xml:space="preserve">ПРИЛОЖЕНИЕ Б </w:t>
        </w:r>
        <w:r>
          <w:rPr>
            <w:rStyle w:val="a4"/>
            <w:i/>
            <w:iCs/>
            <w:color w:val="0000FF"/>
            <w:u w:val="single"/>
          </w:rPr>
          <w:t>(информационное)</w:t>
        </w:r>
      </w:hyperlink>
      <w:r>
        <w:rPr>
          <w:i/>
          <w:iCs/>
        </w:rPr>
        <w:t xml:space="preserve">. </w:t>
      </w:r>
      <w:r>
        <w:t>ПОЧВЕННЫЙ ПОКРОВ</w:t>
      </w:r>
    </w:p>
    <w:p w:rsidR="00000000" w:rsidRDefault="00F36ADD">
      <w:pPr>
        <w:ind w:firstLine="426"/>
        <w:jc w:val="both"/>
      </w:pPr>
      <w:hyperlink r:id="rId52" w:anchor="sub_id=3" w:history="1">
        <w:r>
          <w:rPr>
            <w:rStyle w:val="a4"/>
            <w:color w:val="0000FF"/>
            <w:u w:val="single"/>
          </w:rPr>
          <w:t>ПРИЛОЖЕ</w:t>
        </w:r>
        <w:r>
          <w:rPr>
            <w:rStyle w:val="a4"/>
            <w:color w:val="0000FF"/>
            <w:u w:val="single"/>
          </w:rPr>
          <w:t xml:space="preserve">НИЕ В </w:t>
        </w:r>
        <w:r>
          <w:rPr>
            <w:rStyle w:val="a4"/>
            <w:i/>
            <w:iCs/>
            <w:color w:val="0000FF"/>
            <w:u w:val="single"/>
          </w:rPr>
          <w:t>(информационное)</w:t>
        </w:r>
      </w:hyperlink>
      <w:r>
        <w:rPr>
          <w:i/>
          <w:iCs/>
        </w:rPr>
        <w:t xml:space="preserve">. </w:t>
      </w:r>
      <w:r>
        <w:t>ИГРОВОЕ И СПОРТИВНОЕ ОБОРУДОВАНИЕ</w:t>
      </w:r>
    </w:p>
    <w:p w:rsidR="00000000" w:rsidRDefault="00F36ADD">
      <w:pPr>
        <w:ind w:firstLine="426"/>
        <w:jc w:val="both"/>
      </w:pPr>
      <w:hyperlink r:id="rId53" w:anchor="sub_id=4" w:history="1">
        <w:r>
          <w:rPr>
            <w:rStyle w:val="a4"/>
            <w:color w:val="0000FF"/>
            <w:u w:val="single"/>
          </w:rPr>
          <w:t xml:space="preserve">ПРИЛОЖЕНИЕ Г </w:t>
        </w:r>
        <w:r>
          <w:rPr>
            <w:rStyle w:val="a4"/>
            <w:i/>
            <w:iCs/>
            <w:color w:val="0000FF"/>
            <w:u w:val="single"/>
          </w:rPr>
          <w:t>(информационное)</w:t>
        </w:r>
      </w:hyperlink>
      <w:r>
        <w:rPr>
          <w:i/>
          <w:iCs/>
        </w:rPr>
        <w:t xml:space="preserve">. </w:t>
      </w:r>
      <w:r>
        <w:t>ПРИЕМЫ БЛАГОУСТРОЙСТВА НА ТЕРРИТОРИЯХ РЕКРЕАЦИОННОГО НАЗНАЧЕНИЯ</w:t>
      </w:r>
    </w:p>
    <w:p w:rsidR="00000000" w:rsidRDefault="00F36ADD">
      <w:pPr>
        <w:ind w:firstLine="426"/>
        <w:jc w:val="both"/>
      </w:pPr>
      <w:hyperlink r:id="rId54" w:anchor="sub_id=5" w:history="1">
        <w:r>
          <w:rPr>
            <w:rStyle w:val="a4"/>
            <w:color w:val="0000FF"/>
            <w:u w:val="single"/>
          </w:rPr>
          <w:t xml:space="preserve">ПРИЛОЖЕНИЕ Д </w:t>
        </w:r>
        <w:r>
          <w:rPr>
            <w:rStyle w:val="a4"/>
            <w:i/>
            <w:iCs/>
            <w:color w:val="0000FF"/>
            <w:u w:val="single"/>
          </w:rPr>
          <w:t>(информационное)</w:t>
        </w:r>
      </w:hyperlink>
      <w:r>
        <w:rPr>
          <w:i/>
          <w:iCs/>
        </w:rPr>
        <w:t xml:space="preserve">. </w:t>
      </w:r>
      <w:r>
        <w:t>ПРИЕМЫ БЛАГОУСТРОЙСТВА НА ТЕРРИТОРИЯХ ПРОИЗВОДСТВЕННОГО НАЗНАЧЕНИЯ</w:t>
      </w:r>
    </w:p>
    <w:p w:rsidR="00000000" w:rsidRDefault="00F36ADD">
      <w:pPr>
        <w:ind w:firstLine="426"/>
        <w:jc w:val="both"/>
      </w:pPr>
      <w:hyperlink r:id="rId55" w:anchor="sub_id=6" w:history="1">
        <w:r>
          <w:rPr>
            <w:rStyle w:val="a4"/>
            <w:color w:val="0000FF"/>
            <w:u w:val="single"/>
          </w:rPr>
          <w:t xml:space="preserve">ПРИЛОЖЕНИЕ Е </w:t>
        </w:r>
        <w:r>
          <w:rPr>
            <w:rStyle w:val="a4"/>
            <w:i/>
            <w:iCs/>
            <w:color w:val="0000FF"/>
            <w:u w:val="single"/>
          </w:rPr>
          <w:t>(информационное)</w:t>
        </w:r>
      </w:hyperlink>
      <w:r>
        <w:rPr>
          <w:i/>
          <w:iCs/>
        </w:rPr>
        <w:t xml:space="preserve">. </w:t>
      </w:r>
      <w:r>
        <w:t>ВИДЫ ПОКРЫТИЯ ТРАНСПОРТНЫХ И ПЕШЕХОДНЫХ КОММУНИКАЦИЙ</w:t>
      </w:r>
    </w:p>
    <w:p w:rsidR="00000000" w:rsidRDefault="00F36ADD">
      <w:pPr>
        <w:ind w:firstLine="426"/>
        <w:jc w:val="both"/>
      </w:pPr>
      <w:hyperlink r:id="rId56" w:anchor="sub_id=7" w:history="1">
        <w:r>
          <w:rPr>
            <w:rStyle w:val="a4"/>
            <w:color w:val="0000FF"/>
            <w:u w:val="single"/>
          </w:rPr>
          <w:t xml:space="preserve">ПРИЛОЖЕНИЕ Ж </w:t>
        </w:r>
        <w:r>
          <w:rPr>
            <w:rStyle w:val="a4"/>
            <w:i/>
            <w:iCs/>
            <w:color w:val="0000FF"/>
            <w:u w:val="single"/>
          </w:rPr>
          <w:t>(информационное)</w:t>
        </w:r>
      </w:hyperlink>
      <w:r>
        <w:rPr>
          <w:i/>
          <w:iCs/>
        </w:rPr>
        <w:t xml:space="preserve">. </w:t>
      </w:r>
      <w:r>
        <w:t>РАСЧЕТ ШИРИНЫ ПЕШЕХОДНЫХ КОММУНИКАЦИЙ</w:t>
      </w:r>
    </w:p>
    <w:p w:rsidR="00000000" w:rsidRDefault="00F36ADD">
      <w:pPr>
        <w:ind w:firstLine="426"/>
        <w:jc w:val="both"/>
      </w:pPr>
      <w:r>
        <w:t> </w:t>
      </w:r>
    </w:p>
    <w:p w:rsidR="00000000" w:rsidRDefault="00F36ADD">
      <w:pPr>
        <w:ind w:firstLine="426"/>
        <w:jc w:val="both"/>
      </w:pPr>
      <w:r>
        <w:t> </w:t>
      </w:r>
    </w:p>
    <w:p w:rsidR="00000000" w:rsidRDefault="00F36ADD">
      <w:pPr>
        <w:jc w:val="center"/>
      </w:pPr>
      <w:r>
        <w:rPr>
          <w:rStyle w:val="s1"/>
        </w:rPr>
        <w:t>ВВЕДЕНИЕ</w:t>
      </w:r>
    </w:p>
    <w:p w:rsidR="00000000" w:rsidRDefault="00F36ADD">
      <w:pPr>
        <w:ind w:firstLine="426"/>
      </w:pPr>
      <w:r>
        <w:t> </w:t>
      </w:r>
    </w:p>
    <w:p w:rsidR="00000000" w:rsidRDefault="00F36ADD">
      <w:pPr>
        <w:ind w:firstLine="426"/>
        <w:jc w:val="both"/>
      </w:pPr>
      <w:r>
        <w:t xml:space="preserve">Реформирование системы технического регулирования строительной отрасли Республики Казахстан проводится в рамках реализации </w:t>
      </w:r>
      <w:hyperlink r:id="rId57" w:history="1">
        <w:r>
          <w:rPr>
            <w:rStyle w:val="a4"/>
            <w:color w:val="0000FF"/>
            <w:u w:val="single"/>
          </w:rPr>
          <w:t>Закона</w:t>
        </w:r>
      </w:hyperlink>
      <w:r>
        <w:t xml:space="preserve"> Республики Казахстан «О техническом регулировании» и связано с</w:t>
      </w:r>
      <w:r>
        <w:t xml:space="preserve"> созданием базы нормативно-технических документов в строительстве, гармонизированных с европейскими нормами и стандартами и межгосударственными нормативными документами зарубежных стран.</w:t>
      </w:r>
    </w:p>
    <w:p w:rsidR="00000000" w:rsidRDefault="00F36ADD">
      <w:pPr>
        <w:ind w:firstLine="426"/>
        <w:jc w:val="both"/>
      </w:pPr>
      <w:r>
        <w:t>Настоящий свод правил разработан в рамках структурной реформы нормати</w:t>
      </w:r>
      <w:r>
        <w:t>вно-технической базы и содержит правила и положения, нормируемые показатели приемлемых решений, применяемых в качестве официально признанных и, с необходимой полнотой, оправдавшие себя на практике рекомендуемые параметры, которые позволяют в широком спектр</w:t>
      </w:r>
      <w:r>
        <w:t>е обеспечить выполнение обязательных требований технических регламентов и строительных норм по обеспечению необходимых минимальных сочетаний элементов благоустройства.</w:t>
      </w:r>
    </w:p>
    <w:p w:rsidR="00000000" w:rsidRDefault="00F36ADD">
      <w:pPr>
        <w:ind w:firstLine="426"/>
      </w:pPr>
      <w:r>
        <w:rPr>
          <w:b/>
          <w:bCs/>
        </w:rPr>
        <w:t> </w:t>
      </w:r>
    </w:p>
    <w:p w:rsidR="00000000" w:rsidRDefault="00F36ADD">
      <w:pPr>
        <w:ind w:firstLine="426"/>
      </w:pPr>
      <w:r>
        <w:rPr>
          <w:b/>
          <w:bCs/>
        </w:rPr>
        <w:t> </w:t>
      </w:r>
    </w:p>
    <w:p w:rsidR="00000000" w:rsidRDefault="00F36ADD">
      <w:pPr>
        <w:jc w:val="center"/>
      </w:pPr>
      <w:r>
        <w:rPr>
          <w:rStyle w:val="s1"/>
        </w:rPr>
        <w:t>1. ОБЛАСТЬ ПРИМЕНЕНИЯ</w:t>
      </w:r>
    </w:p>
    <w:p w:rsidR="00000000" w:rsidRDefault="00F36ADD">
      <w:pPr>
        <w:ind w:firstLine="426"/>
      </w:pPr>
      <w:r>
        <w:t> </w:t>
      </w:r>
    </w:p>
    <w:p w:rsidR="00000000" w:rsidRDefault="00F36ADD">
      <w:pPr>
        <w:ind w:firstLine="426"/>
        <w:jc w:val="both"/>
      </w:pPr>
      <w:r>
        <w:t>Настоящий свод правил предназначен для установления основных</w:t>
      </w:r>
      <w:r>
        <w:t xml:space="preserve"> приемлемых решений, рекомендуемых параметров и необходимых сочетаний элементов благоустройства и применяется при проектировании сложившихся, реконструируемых и вновь застраиваемых территорий населенных пунктов Республики Казахстан.</w:t>
      </w:r>
    </w:p>
    <w:p w:rsidR="00000000" w:rsidRDefault="00F36ADD">
      <w:pPr>
        <w:ind w:firstLine="426"/>
      </w:pPr>
      <w:r>
        <w:rPr>
          <w:b/>
          <w:bCs/>
        </w:rPr>
        <w:t> </w:t>
      </w:r>
    </w:p>
    <w:p w:rsidR="00000000" w:rsidRDefault="00F36ADD">
      <w:pPr>
        <w:ind w:firstLine="426"/>
      </w:pPr>
      <w:r>
        <w:rPr>
          <w:b/>
          <w:bCs/>
        </w:rPr>
        <w:t> </w:t>
      </w:r>
    </w:p>
    <w:p w:rsidR="00000000" w:rsidRDefault="00F36ADD">
      <w:pPr>
        <w:jc w:val="both"/>
      </w:pPr>
      <w:r>
        <w:rPr>
          <w:rStyle w:val="s3"/>
        </w:rPr>
        <w:lastRenderedPageBreak/>
        <w:t xml:space="preserve">Раздел 2 изложен в </w:t>
      </w:r>
      <w:r>
        <w:rPr>
          <w:rStyle w:val="s3"/>
        </w:rPr>
        <w:t xml:space="preserve">редакции </w:t>
      </w:r>
      <w:hyperlink r:id="rId58" w:anchor="sub_id=110" w:history="1">
        <w:r>
          <w:rPr>
            <w:rStyle w:val="a4"/>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r>
        <w:rPr>
          <w:rStyle w:val="s3"/>
        </w:rPr>
        <w:t>(</w:t>
      </w:r>
      <w:hyperlink r:id="rId59" w:anchor="sub_id=200" w:history="1">
        <w:r>
          <w:rPr>
            <w:rStyle w:val="a4"/>
            <w:i/>
            <w:iCs/>
            <w:color w:val="0000FF"/>
            <w:u w:val="single"/>
          </w:rPr>
          <w:t>см. стар. ред.</w:t>
        </w:r>
      </w:hyperlink>
      <w:r>
        <w:rPr>
          <w:rStyle w:val="s3"/>
        </w:rPr>
        <w:t>)</w:t>
      </w:r>
    </w:p>
    <w:p w:rsidR="00000000" w:rsidRDefault="00F36ADD">
      <w:pPr>
        <w:jc w:val="center"/>
      </w:pPr>
      <w:r>
        <w:rPr>
          <w:rStyle w:val="s1"/>
        </w:rPr>
        <w:t>2. НОРМАТИВНЫЕ ССЫЛКИ</w:t>
      </w:r>
    </w:p>
    <w:p w:rsidR="00000000" w:rsidRDefault="00F36ADD">
      <w:pPr>
        <w:ind w:firstLine="426"/>
      </w:pPr>
      <w:r>
        <w:t> </w:t>
      </w:r>
    </w:p>
    <w:p w:rsidR="00000000" w:rsidRDefault="00F36ADD">
      <w:pPr>
        <w:ind w:firstLine="397"/>
        <w:jc w:val="both"/>
      </w:pPr>
      <w:r>
        <w:t>Для применения настоящего свода правил необходимы следующие ссылочные нормативные документы:</w:t>
      </w:r>
    </w:p>
    <w:p w:rsidR="00000000" w:rsidRDefault="00F36ADD">
      <w:pPr>
        <w:ind w:firstLine="397"/>
        <w:jc w:val="both"/>
      </w:pPr>
      <w:hyperlink r:id="rId60" w:history="1">
        <w:r>
          <w:rPr>
            <w:rStyle w:val="a4"/>
            <w:color w:val="0000FF"/>
            <w:u w:val="single"/>
          </w:rPr>
          <w:t>Санитарные правила</w:t>
        </w:r>
      </w:hyperlink>
      <w:r>
        <w:t xml:space="preserve"> «Санитарно-эпидемиологические требования по установлению санитарно-защитной зоны производственных объектов», утвержденные приказом Министра национальной экономики Республики Казахстан от 20 марта 2015 года № 237.</w:t>
      </w:r>
    </w:p>
    <w:p w:rsidR="00000000" w:rsidRDefault="00F36ADD">
      <w:pPr>
        <w:ind w:firstLine="397"/>
        <w:jc w:val="both"/>
      </w:pPr>
      <w:hyperlink r:id="rId61" w:history="1">
        <w:r>
          <w:rPr>
            <w:rStyle w:val="a4"/>
            <w:color w:val="0000FF"/>
            <w:u w:val="single"/>
          </w:rPr>
          <w:t>СНиП РК 2.02-05-2009</w:t>
        </w:r>
      </w:hyperlink>
      <w:r>
        <w:t>* Пожарная безопасность зданий и сооружений.</w:t>
      </w:r>
    </w:p>
    <w:p w:rsidR="00000000" w:rsidRDefault="00F36ADD">
      <w:pPr>
        <w:ind w:firstLine="397"/>
        <w:jc w:val="both"/>
      </w:pPr>
      <w:hyperlink r:id="rId62" w:history="1">
        <w:r>
          <w:rPr>
            <w:rStyle w:val="a4"/>
            <w:color w:val="0000FF"/>
            <w:u w:val="single"/>
          </w:rPr>
          <w:t>СН РК 3.01-05-2013</w:t>
        </w:r>
      </w:hyperlink>
      <w:r>
        <w:t xml:space="preserve"> </w:t>
      </w:r>
      <w:r>
        <w:t>Благоустройство территорий населенных пунктов.</w:t>
      </w:r>
    </w:p>
    <w:p w:rsidR="00000000" w:rsidRDefault="00F36ADD">
      <w:pPr>
        <w:ind w:firstLine="397"/>
        <w:jc w:val="both"/>
      </w:pPr>
      <w:hyperlink r:id="rId63" w:history="1">
        <w:r>
          <w:rPr>
            <w:rStyle w:val="a4"/>
            <w:color w:val="0000FF"/>
            <w:u w:val="single"/>
          </w:rPr>
          <w:t>СН РК 2.04-01-2011</w:t>
        </w:r>
      </w:hyperlink>
      <w:r>
        <w:t xml:space="preserve"> Естественное и искусственное освещение. </w:t>
      </w:r>
    </w:p>
    <w:p w:rsidR="00000000" w:rsidRDefault="00F36ADD">
      <w:pPr>
        <w:ind w:firstLine="397"/>
        <w:jc w:val="both"/>
      </w:pPr>
      <w:hyperlink r:id="rId64" w:history="1">
        <w:r>
          <w:rPr>
            <w:rStyle w:val="a4"/>
            <w:color w:val="0000FF"/>
            <w:u w:val="single"/>
          </w:rPr>
          <w:t>СП РК 3.01-101-2013</w:t>
        </w:r>
      </w:hyperlink>
      <w:r>
        <w:t>* Градостроительство. Планировка и застройка городских и сельских населенных пунктов.</w:t>
      </w:r>
    </w:p>
    <w:p w:rsidR="00000000" w:rsidRDefault="00F36ADD">
      <w:pPr>
        <w:ind w:firstLine="397"/>
        <w:jc w:val="both"/>
      </w:pPr>
      <w:hyperlink r:id="rId65" w:history="1">
        <w:r>
          <w:rPr>
            <w:rStyle w:val="a4"/>
            <w:color w:val="0000FF"/>
            <w:u w:val="single"/>
          </w:rPr>
          <w:t>СН РК 3.02-07-2014</w:t>
        </w:r>
      </w:hyperlink>
      <w:r>
        <w:t>* Общественные здания и сооружения.</w:t>
      </w:r>
    </w:p>
    <w:p w:rsidR="00000000" w:rsidRDefault="00F36ADD">
      <w:pPr>
        <w:ind w:firstLine="397"/>
        <w:jc w:val="both"/>
      </w:pPr>
      <w:r>
        <w:t>СН РК 3.02-04-2011 Дошкольные объекты образования.</w:t>
      </w:r>
    </w:p>
    <w:p w:rsidR="00000000" w:rsidRDefault="00F36ADD">
      <w:pPr>
        <w:ind w:firstLine="397"/>
        <w:jc w:val="both"/>
      </w:pPr>
      <w:r>
        <w:t>СП РК 3.02-27-2012 Дошкольные объекты образования.</w:t>
      </w:r>
    </w:p>
    <w:p w:rsidR="00000000" w:rsidRDefault="00F36ADD">
      <w:pPr>
        <w:ind w:firstLine="397"/>
        <w:jc w:val="both"/>
      </w:pPr>
      <w:hyperlink r:id="rId66" w:history="1">
        <w:r>
          <w:rPr>
            <w:rStyle w:val="a4"/>
            <w:color w:val="0000FF"/>
            <w:u w:val="single"/>
          </w:rPr>
          <w:t>СН РК 3.03-01-2013</w:t>
        </w:r>
      </w:hyperlink>
      <w:r>
        <w:t xml:space="preserve"> Автомобильные дороги.</w:t>
      </w:r>
    </w:p>
    <w:p w:rsidR="00000000" w:rsidRDefault="00F36ADD">
      <w:pPr>
        <w:ind w:firstLine="397"/>
        <w:jc w:val="both"/>
      </w:pPr>
      <w:hyperlink r:id="rId67" w:history="1">
        <w:r>
          <w:rPr>
            <w:rStyle w:val="a4"/>
            <w:color w:val="0000FF"/>
            <w:u w:val="single"/>
          </w:rPr>
          <w:t>СН РК 3.06-01-2011</w:t>
        </w:r>
      </w:hyperlink>
      <w:r>
        <w:t xml:space="preserve"> Доступность зда</w:t>
      </w:r>
      <w:r>
        <w:t>ний и сооружений для маломобильных групп населения</w:t>
      </w:r>
    </w:p>
    <w:p w:rsidR="00000000" w:rsidRDefault="00F36ADD">
      <w:pPr>
        <w:ind w:firstLine="397"/>
        <w:jc w:val="both"/>
      </w:pPr>
      <w:hyperlink r:id="rId68" w:history="1">
        <w:r>
          <w:rPr>
            <w:rStyle w:val="a4"/>
            <w:color w:val="0000FF"/>
            <w:u w:val="single"/>
          </w:rPr>
          <w:t>СП РК 3.06-101-2012</w:t>
        </w:r>
      </w:hyperlink>
      <w:r>
        <w:t>* Проектирование зданий и сооружений с учетом доступности для маломобильных групп населения.Общие положения.</w:t>
      </w:r>
    </w:p>
    <w:p w:rsidR="00000000" w:rsidRDefault="00F36ADD">
      <w:pPr>
        <w:ind w:firstLine="397"/>
        <w:jc w:val="both"/>
      </w:pPr>
      <w:hyperlink r:id="rId69" w:history="1">
        <w:r>
          <w:rPr>
            <w:rStyle w:val="a4"/>
            <w:color w:val="0000FF"/>
            <w:u w:val="single"/>
          </w:rPr>
          <w:t>СНиП 2.01.07-85</w:t>
        </w:r>
      </w:hyperlink>
      <w:r>
        <w:t>* Нагрузки и воздействия.</w:t>
      </w:r>
    </w:p>
    <w:p w:rsidR="00000000" w:rsidRDefault="00F36ADD">
      <w:pPr>
        <w:ind w:firstLine="397"/>
        <w:jc w:val="both"/>
      </w:pPr>
      <w:hyperlink r:id="rId70" w:history="1">
        <w:r>
          <w:rPr>
            <w:rStyle w:val="a4"/>
            <w:color w:val="0000FF"/>
            <w:u w:val="single"/>
          </w:rPr>
          <w:t>СН РК 3.03-05-2014</w:t>
        </w:r>
      </w:hyperlink>
      <w:r>
        <w:t xml:space="preserve"> Стоянки автомобилей.</w:t>
      </w:r>
    </w:p>
    <w:p w:rsidR="00000000" w:rsidRDefault="00F36ADD">
      <w:pPr>
        <w:ind w:firstLine="397"/>
        <w:jc w:val="both"/>
      </w:pPr>
      <w:hyperlink r:id="rId71" w:history="1">
        <w:r>
          <w:rPr>
            <w:rStyle w:val="a4"/>
            <w:color w:val="0000FF"/>
            <w:u w:val="single"/>
          </w:rPr>
          <w:t>ГОСТ 3634-99</w:t>
        </w:r>
      </w:hyperlink>
      <w:r>
        <w:t xml:space="preserve"> Люки смотровых колодцев и дождеприемников ливнесточных колодцев.</w:t>
      </w:r>
    </w:p>
    <w:p w:rsidR="00000000" w:rsidRDefault="00F36ADD">
      <w:pPr>
        <w:ind w:firstLine="397"/>
        <w:jc w:val="both"/>
      </w:pPr>
      <w:hyperlink r:id="rId72" w:history="1">
        <w:r>
          <w:rPr>
            <w:rStyle w:val="a4"/>
            <w:color w:val="0000FF"/>
            <w:u w:val="single"/>
          </w:rPr>
          <w:t>ГОСТ 23457-86</w:t>
        </w:r>
      </w:hyperlink>
      <w:r>
        <w:t xml:space="preserve"> Технические средства организации дорожного движения. Правила применения (с изм.№2).</w:t>
      </w:r>
    </w:p>
    <w:p w:rsidR="00000000" w:rsidRDefault="00F36ADD">
      <w:pPr>
        <w:ind w:firstLine="397"/>
        <w:jc w:val="both"/>
      </w:pPr>
      <w:hyperlink r:id="rId73" w:history="1">
        <w:r>
          <w:rPr>
            <w:rStyle w:val="a4"/>
            <w:color w:val="0000FF"/>
            <w:u w:val="single"/>
          </w:rPr>
          <w:t>ГОСТ 26804-2012</w:t>
        </w:r>
      </w:hyperlink>
      <w:r>
        <w:t xml:space="preserve"> Ограждения дорожные металлические барьерного типа. Технические условия.</w:t>
      </w:r>
    </w:p>
    <w:p w:rsidR="00000000" w:rsidRDefault="00F36ADD">
      <w:pPr>
        <w:ind w:firstLine="426"/>
        <w:jc w:val="both"/>
      </w:pPr>
      <w:r>
        <w:rPr>
          <w:lang w:val="kk-KZ"/>
        </w:rPr>
        <w:t xml:space="preserve">Примечание - При пользовании целесообразно проверить действие ссылочных документов по информационным каталогам </w:t>
      </w:r>
      <w:r>
        <w:rPr>
          <w:lang w:val="kk-KZ"/>
        </w:rPr>
        <w:t>«</w:t>
      </w:r>
      <w:hyperlink r:id="rId74" w:history="1">
        <w:r>
          <w:rPr>
            <w:rStyle w:val="a4"/>
            <w:color w:val="0000FF"/>
            <w:u w:val="single"/>
            <w:lang w:val="kk-KZ"/>
          </w:rPr>
          <w:t>Перечень</w:t>
        </w:r>
      </w:hyperlink>
      <w:r>
        <w:rPr>
          <w:lang w:val="kk-KZ"/>
        </w:rPr>
        <w:t xml:space="preserve"> нормативных правовых актов и нормативных технических документов в сфере архитектуры, градостроительства и строительства, действующих на территории Республики Казахстан», «</w:t>
      </w:r>
      <w:hyperlink r:id="rId75" w:history="1">
        <w:r>
          <w:rPr>
            <w:rStyle w:val="a4"/>
            <w:color w:val="0000FF"/>
            <w:u w:val="single"/>
            <w:lang w:val="kk-KZ"/>
          </w:rPr>
          <w:t>Указателю</w:t>
        </w:r>
      </w:hyperlink>
      <w:r>
        <w:rPr>
          <w:lang w:val="kk-KZ"/>
        </w:rPr>
        <w:t xml:space="preserve"> нормативных документов по стандартизации Республики Казахстан» и «Указателю межгосударственных нормативных документов по стандартизации Республики Казахстан», составляемым ежегодно по состоян</w:t>
      </w:r>
      <w:r>
        <w:rPr>
          <w:lang w:val="kk-KZ"/>
        </w:rPr>
        <w:t>ию на текущий год и соответствующим ежемесячно издаваемым информационным бюллетеням - журналам и информационным указателям стандартов, опубликованным в текущем году. Если ссылочный документ заменен (изменен), то при пользовании настоящим нормативом следует</w:t>
      </w:r>
      <w:r>
        <w:rPr>
          <w:lang w:val="kk-KZ"/>
        </w:rPr>
        <w:t xml:space="preserve">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F36ADD">
      <w:pPr>
        <w:ind w:firstLine="426"/>
        <w:jc w:val="both"/>
      </w:pPr>
      <w:r>
        <w:rPr>
          <w:b/>
          <w:bCs/>
        </w:rPr>
        <w:t> </w:t>
      </w:r>
    </w:p>
    <w:p w:rsidR="00000000" w:rsidRDefault="00F36ADD">
      <w:pPr>
        <w:ind w:firstLine="426"/>
        <w:jc w:val="both"/>
      </w:pPr>
      <w:r>
        <w:rPr>
          <w:b/>
          <w:bCs/>
        </w:rPr>
        <w:t> </w:t>
      </w:r>
    </w:p>
    <w:p w:rsidR="00000000" w:rsidRDefault="00F36ADD">
      <w:pPr>
        <w:jc w:val="center"/>
      </w:pPr>
      <w:r>
        <w:rPr>
          <w:rStyle w:val="s1"/>
        </w:rPr>
        <w:t>3. ТЕРМИНЫ И ОПРЕДЕЛЕНИЯ</w:t>
      </w:r>
    </w:p>
    <w:p w:rsidR="00000000" w:rsidRDefault="00F36ADD">
      <w:pPr>
        <w:ind w:firstLine="426"/>
      </w:pPr>
      <w:r>
        <w:t> </w:t>
      </w:r>
    </w:p>
    <w:p w:rsidR="00000000" w:rsidRDefault="00F36ADD">
      <w:pPr>
        <w:ind w:firstLine="426"/>
      </w:pPr>
      <w:r>
        <w:t xml:space="preserve">В настоящем своде правил применяются термины с соответствующими определениями, приведенные в </w:t>
      </w:r>
      <w:hyperlink r:id="rId76" w:history="1">
        <w:r>
          <w:rPr>
            <w:rStyle w:val="a4"/>
            <w:color w:val="0000FF"/>
            <w:u w:val="single"/>
          </w:rPr>
          <w:t>СН РК 3.01-05</w:t>
        </w:r>
      </w:hyperlink>
      <w:r>
        <w:t>.</w:t>
      </w:r>
    </w:p>
    <w:p w:rsidR="00000000" w:rsidRDefault="00F36ADD">
      <w:pPr>
        <w:ind w:firstLine="426"/>
      </w:pPr>
      <w:r>
        <w:rPr>
          <w:b/>
          <w:bCs/>
        </w:rPr>
        <w:lastRenderedPageBreak/>
        <w:t> </w:t>
      </w:r>
    </w:p>
    <w:p w:rsidR="00000000" w:rsidRDefault="00F36ADD">
      <w:pPr>
        <w:ind w:firstLine="426"/>
      </w:pPr>
      <w:r>
        <w:rPr>
          <w:b/>
          <w:bCs/>
        </w:rPr>
        <w:t> </w:t>
      </w:r>
    </w:p>
    <w:p w:rsidR="00000000" w:rsidRDefault="00F36ADD">
      <w:pPr>
        <w:jc w:val="center"/>
      </w:pPr>
      <w:r>
        <w:rPr>
          <w:rStyle w:val="s1"/>
        </w:rPr>
        <w:t>4. ПРОЕКТИРОВАНИЕ ЭЛЕМЕНТОВ КОМПЛЕКСНОГО БЛАГОУСТРОЙСТВА</w:t>
      </w:r>
    </w:p>
    <w:p w:rsidR="00000000" w:rsidRDefault="00F36ADD">
      <w:pPr>
        <w:ind w:firstLine="426"/>
      </w:pPr>
      <w:r>
        <w:rPr>
          <w:b/>
          <w:bCs/>
        </w:rPr>
        <w:t> </w:t>
      </w:r>
    </w:p>
    <w:p w:rsidR="00000000" w:rsidRDefault="00F36ADD">
      <w:pPr>
        <w:ind w:firstLine="426"/>
        <w:jc w:val="both"/>
      </w:pPr>
      <w:r>
        <w:rPr>
          <w:b/>
          <w:bCs/>
        </w:rPr>
        <w:t>4.1 Элементы инженер</w:t>
      </w:r>
      <w:r>
        <w:rPr>
          <w:b/>
          <w:bCs/>
        </w:rPr>
        <w:t>ной подготовки и защиты территории</w:t>
      </w:r>
    </w:p>
    <w:p w:rsidR="00000000" w:rsidRDefault="00F36ADD">
      <w:pPr>
        <w:ind w:firstLine="426"/>
        <w:jc w:val="both"/>
      </w:pPr>
      <w:r>
        <w:t>4.1.1 Проектирование элементов инженерной подготовки и защиты территории производится, как правило, в составе мероприятий по организации рельефа и стока поверхностных вод.</w:t>
      </w:r>
    </w:p>
    <w:p w:rsidR="00000000" w:rsidRDefault="00F36ADD">
      <w:pPr>
        <w:ind w:firstLine="426"/>
        <w:jc w:val="both"/>
      </w:pPr>
      <w:r>
        <w:t>4.1.2 При организации рельефа следует предусматри</w:t>
      </w:r>
      <w:r>
        <w:t>вать снятие плодородного слоя почвы толщиной 150-200 мм, оборудование места для его временного хранения - в случае если подтверждено наличие плодородного слоя и отсутствие в нем сверхнормативного загрязнения любых видов - и меры по защите его от загрязнени</w:t>
      </w:r>
      <w:r>
        <w:t>я. При проведении подсыпки грунта на территории допускается использовать только минеральные грунты и верхние плодородные слои почвы, имеющие сертификат соответствия.</w:t>
      </w:r>
    </w:p>
    <w:p w:rsidR="00000000" w:rsidRDefault="00F36ADD">
      <w:pPr>
        <w:ind w:firstLine="426"/>
        <w:jc w:val="both"/>
      </w:pPr>
      <w:r>
        <w:t>4.1.3 Грунтовые откосы следует формировать согласно СНиП 3.03.09. Максимальные величины уг</w:t>
      </w:r>
      <w:r>
        <w:t>лов естественных откосов в зависимости от видов грунтов приведены в таблице 1.</w:t>
      </w:r>
    </w:p>
    <w:p w:rsidR="00000000" w:rsidRDefault="00F36ADD">
      <w:pPr>
        <w:ind w:firstLine="426"/>
        <w:jc w:val="both"/>
      </w:pPr>
      <w:r>
        <w:t>4.1.4 Выбор материала и технологии укрепления откосов зависят от местоположения откоса в населенном пункте, предполагаемого уровня механических нагрузок на склон, крутизны склон</w:t>
      </w:r>
      <w:r>
        <w:t>а и формируемой среды.</w:t>
      </w:r>
    </w:p>
    <w:p w:rsidR="00000000" w:rsidRDefault="00F36ADD">
      <w:pPr>
        <w:ind w:firstLine="426"/>
      </w:pPr>
      <w:r>
        <w:rPr>
          <w:b/>
          <w:bCs/>
        </w:rPr>
        <w:t> </w:t>
      </w:r>
    </w:p>
    <w:p w:rsidR="00000000" w:rsidRDefault="00F36ADD">
      <w:pPr>
        <w:jc w:val="center"/>
      </w:pPr>
      <w:r>
        <w:rPr>
          <w:rStyle w:val="s1"/>
        </w:rPr>
        <w:t>Таблица 1 - Углы естественного откоса различных грунтов, в градусах</w:t>
      </w:r>
    </w:p>
    <w:p w:rsidR="00000000" w:rsidRDefault="00F36ADD">
      <w:pPr>
        <w:ind w:firstLine="426"/>
        <w:jc w:val="center"/>
      </w:pPr>
      <w:r>
        <w:t> </w:t>
      </w:r>
    </w:p>
    <w:tbl>
      <w:tblPr>
        <w:tblW w:w="0" w:type="auto"/>
        <w:tblCellMar>
          <w:left w:w="0" w:type="dxa"/>
          <w:right w:w="0" w:type="dxa"/>
        </w:tblCellMar>
        <w:tblLook w:val="04A0" w:firstRow="1" w:lastRow="0" w:firstColumn="1" w:lastColumn="0" w:noHBand="0" w:noVBand="1"/>
      </w:tblPr>
      <w:tblGrid>
        <w:gridCol w:w="3600"/>
        <w:gridCol w:w="4971"/>
      </w:tblGrid>
      <w:tr w:rsidR="00000000">
        <w:trPr>
          <w:trHeight w:val="20"/>
        </w:trPr>
        <w:tc>
          <w:tcPr>
            <w:tcW w:w="360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Грунт откоса</w:t>
            </w:r>
          </w:p>
        </w:tc>
        <w:tc>
          <w:tcPr>
            <w:tcW w:w="497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Максимальный угол естественного откоса</w:t>
            </w:r>
          </w:p>
        </w:tc>
      </w:tr>
      <w:tr w:rsidR="00000000">
        <w:trPr>
          <w:trHeight w:val="20"/>
        </w:trPr>
        <w:tc>
          <w:tcPr>
            <w:tcW w:w="36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Песок</w:t>
            </w:r>
          </w:p>
        </w:tc>
        <w:tc>
          <w:tcPr>
            <w:tcW w:w="49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27</w:t>
            </w:r>
          </w:p>
        </w:tc>
      </w:tr>
      <w:tr w:rsidR="00000000">
        <w:trPr>
          <w:trHeight w:val="20"/>
        </w:trPr>
        <w:tc>
          <w:tcPr>
            <w:tcW w:w="36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Супесь</w:t>
            </w:r>
          </w:p>
        </w:tc>
        <w:tc>
          <w:tcPr>
            <w:tcW w:w="49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r>
      <w:tr w:rsidR="00000000">
        <w:trPr>
          <w:trHeight w:val="20"/>
        </w:trPr>
        <w:tc>
          <w:tcPr>
            <w:tcW w:w="36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Суглинок</w:t>
            </w:r>
          </w:p>
        </w:tc>
        <w:tc>
          <w:tcPr>
            <w:tcW w:w="49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w:t>
            </w:r>
          </w:p>
        </w:tc>
      </w:tr>
      <w:tr w:rsidR="00000000">
        <w:trPr>
          <w:trHeight w:val="20"/>
        </w:trPr>
        <w:tc>
          <w:tcPr>
            <w:tcW w:w="36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Глина</w:t>
            </w:r>
          </w:p>
        </w:tc>
        <w:tc>
          <w:tcPr>
            <w:tcW w:w="49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w:t>
            </w:r>
          </w:p>
        </w:tc>
      </w:tr>
    </w:tbl>
    <w:p w:rsidR="00000000" w:rsidRDefault="00F36ADD">
      <w:pPr>
        <w:ind w:firstLine="426"/>
      </w:pPr>
      <w:r>
        <w:t> </w:t>
      </w:r>
    </w:p>
    <w:p w:rsidR="00000000" w:rsidRDefault="00F36ADD">
      <w:pPr>
        <w:ind w:firstLine="426"/>
        <w:jc w:val="both"/>
      </w:pPr>
      <w:r>
        <w:t>4.1.5 На территориях природного комплекса для укрепления откосов открытых русел водоемов рекомендуется использовать материалы и приемы, сохраняющие естественный вид берегов: габионные конструкции или «матрацы Рено», нетканые синтетические материалы, покрыт</w:t>
      </w:r>
      <w:r>
        <w:t>ие типа «соты», одерновку, ряжевые деревянные берегоукрепления, естественный камень, песок, валуны, посадки растений и т.п.</w:t>
      </w:r>
    </w:p>
    <w:p w:rsidR="00000000" w:rsidRDefault="00F36ADD">
      <w:pPr>
        <w:ind w:firstLine="426"/>
        <w:jc w:val="both"/>
      </w:pPr>
      <w:r>
        <w:t>4.1.6 В застройке населенных пунктов укрепление откосов открытых русел следует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w:t>
      </w:r>
      <w:r>
        <w:t>х нагрузок. Формирование набережных с применением подпорных стенок, стеновых блоков, облицовкой плитами и омоноличиванием швов, т.п.</w:t>
      </w:r>
    </w:p>
    <w:p w:rsidR="00000000" w:rsidRDefault="00F36ADD">
      <w:pPr>
        <w:ind w:firstLine="426"/>
        <w:jc w:val="both"/>
      </w:pPr>
      <w:r>
        <w:t>4.1.7 Подпорные стенки следует проектировать с учетом разницы высот сопрягаемых террас. Перепад рельефа менее 0,4 м следует</w:t>
      </w:r>
      <w:r>
        <w:t xml:space="preserve"> оформлять бортовым камнем или выкладкой естественного камня. При перепадах рельефа более 0,4 м подпорные стенки следует проектировать как инженерное сооружение согласно </w:t>
      </w:r>
      <w:hyperlink r:id="rId77" w:history="1">
        <w:r>
          <w:rPr>
            <w:rStyle w:val="a4"/>
            <w:color w:val="0000FF"/>
            <w:u w:val="single"/>
          </w:rPr>
          <w:t>МСН 2.03-02</w:t>
        </w:r>
      </w:hyperlink>
      <w:r>
        <w:t>, обеспечи</w:t>
      </w:r>
      <w:r>
        <w:t>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000000" w:rsidRDefault="00F36ADD">
      <w:pPr>
        <w:ind w:firstLine="426"/>
        <w:jc w:val="both"/>
      </w:pPr>
      <w:r>
        <w:t>4.1.8 Ограждение подпорных стенок и верхних бровок откосов при размещении на них транспортных комм</w:t>
      </w:r>
      <w:r>
        <w:t xml:space="preserve">уникаций согласно рекомендуется производить в соответствии с </w:t>
      </w:r>
      <w:hyperlink r:id="rId78" w:history="1">
        <w:r>
          <w:rPr>
            <w:rStyle w:val="a4"/>
            <w:color w:val="0000FF"/>
            <w:u w:val="single"/>
          </w:rPr>
          <w:t>СТ РК 1278-2004</w:t>
        </w:r>
      </w:hyperlink>
      <w:r>
        <w:t>. Также следует предусматривать ограждения пешеходных дорожек, размещаемых вдоль этих сооружений, при высоте подпор</w:t>
      </w:r>
      <w:r>
        <w:t>ной стенки более 1,0 м, а откоса - более 2 м. Высота ограждений должна составлять не менее 0,9 м.</w:t>
      </w:r>
    </w:p>
    <w:p w:rsidR="00000000" w:rsidRDefault="00F36ADD">
      <w:pPr>
        <w:ind w:firstLine="426"/>
        <w:jc w:val="both"/>
      </w:pPr>
      <w:r>
        <w:t>4.1.9 Искусственные элементы рельефа (подпорные стенки, земляные насыпи, выемки), располагаемые вдоль магистральных улиц, могут использоваться в качестве шумо</w:t>
      </w:r>
      <w:r>
        <w:t>защитных экранов (</w:t>
      </w:r>
      <w:hyperlink r:id="rId79" w:history="1">
        <w:r>
          <w:rPr>
            <w:rStyle w:val="a4"/>
            <w:color w:val="0000FF"/>
            <w:u w:val="single"/>
          </w:rPr>
          <w:t>МСН 2.04-03</w:t>
        </w:r>
      </w:hyperlink>
      <w:r>
        <w:t>).</w:t>
      </w:r>
    </w:p>
    <w:p w:rsidR="00000000" w:rsidRDefault="00F36ADD">
      <w:pPr>
        <w:jc w:val="both"/>
      </w:pPr>
      <w:r>
        <w:rPr>
          <w:rStyle w:val="s3"/>
        </w:rPr>
        <w:t xml:space="preserve">Пункт 4.1.10 изложен в редакции </w:t>
      </w:r>
      <w:hyperlink r:id="rId80" w:anchor="sub_id=110" w:history="1">
        <w:r>
          <w:rPr>
            <w:rStyle w:val="a4"/>
            <w:i/>
            <w:iCs/>
            <w:color w:val="0000FF"/>
            <w:u w:val="single"/>
          </w:rPr>
          <w:t>приказа</w:t>
        </w:r>
      </w:hyperlink>
      <w:r>
        <w:rPr>
          <w:rStyle w:val="s3"/>
        </w:rPr>
        <w:t xml:space="preserve"> Председателя Комитета по делам строите</w:t>
      </w:r>
      <w:r>
        <w:rPr>
          <w:rStyle w:val="s3"/>
        </w:rPr>
        <w:t>льства и жилищно-коммунального хозяйства Министерства индустрии и инфраструктурного развития РК от 06.11.19 г. № 178-НҚ (</w:t>
      </w:r>
      <w:hyperlink r:id="rId81" w:anchor="sub_id=4011000" w:history="1">
        <w:r>
          <w:rPr>
            <w:rStyle w:val="a4"/>
            <w:i/>
            <w:iCs/>
            <w:color w:val="0000FF"/>
            <w:u w:val="single"/>
          </w:rPr>
          <w:t>см. стар. ред.</w:t>
        </w:r>
      </w:hyperlink>
      <w:r>
        <w:rPr>
          <w:rStyle w:val="s3"/>
        </w:rPr>
        <w:t>)</w:t>
      </w:r>
    </w:p>
    <w:p w:rsidR="00000000" w:rsidRDefault="00F36ADD">
      <w:pPr>
        <w:ind w:firstLine="426"/>
        <w:jc w:val="both"/>
      </w:pPr>
      <w:r>
        <w:t>4.1.10 При проектировании стока по</w:t>
      </w:r>
      <w:r>
        <w:t xml:space="preserve">верхностных вод следует руководствоваться </w:t>
      </w:r>
      <w:hyperlink r:id="rId82" w:history="1">
        <w:r>
          <w:rPr>
            <w:rStyle w:val="a4"/>
            <w:color w:val="0000FF"/>
            <w:u w:val="single"/>
          </w:rPr>
          <w:t>СП РК 3.01-101</w:t>
        </w:r>
      </w:hyperlink>
      <w:r>
        <w:t xml:space="preserve">, </w:t>
      </w:r>
      <w:hyperlink r:id="rId83" w:history="1">
        <w:r>
          <w:rPr>
            <w:rStyle w:val="a4"/>
            <w:color w:val="0000FF"/>
            <w:u w:val="single"/>
          </w:rPr>
          <w:t>СН РК 4.01-03</w:t>
        </w:r>
      </w:hyperlink>
      <w:r>
        <w:t>.</w:t>
      </w:r>
    </w:p>
    <w:p w:rsidR="00000000" w:rsidRDefault="00F36ADD">
      <w:pPr>
        <w:ind w:firstLine="426"/>
        <w:jc w:val="both"/>
      </w:pPr>
      <w:r>
        <w:t>4.1.11 Как правило, на территориях населенных пунктов</w:t>
      </w:r>
      <w:r>
        <w:t xml:space="preserve"> применяется закрытая система водоотвода. Применение открытых водоотводящих устройств допускается для парковых и </w:t>
      </w:r>
      <w:r>
        <w:lastRenderedPageBreak/>
        <w:t>лесопарковых территорий. Открытые лотки (канавы, кюветы) по дну или по всему периметру должны быть укреплены, (одерновка, каменное мощение, мон</w:t>
      </w:r>
      <w:r>
        <w:t>олитный бетон, сборный железобетон, керамика и др.), угол откосов кюветов следует принимать в зависимости от видов грунтов в пределах от 1:0,25 до 1:0,5.</w:t>
      </w:r>
    </w:p>
    <w:p w:rsidR="00000000" w:rsidRDefault="00F36ADD">
      <w:pPr>
        <w:ind w:firstLine="426"/>
        <w:jc w:val="both"/>
      </w:pPr>
      <w:r>
        <w:t>4.1.12 Минимальный уклон по дну лотков (4‰) должен обеспечивать течение дождевых вод со скоростью 0,4-</w:t>
      </w:r>
      <w:r>
        <w:t xml:space="preserve">0,6 м/с, исключающей заиление лотков.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w:t>
      </w:r>
      <w:hyperlink r:id="rId84" w:history="1">
        <w:r>
          <w:rPr>
            <w:rStyle w:val="a4"/>
            <w:color w:val="0000FF"/>
            <w:u w:val="single"/>
          </w:rPr>
          <w:t>СНиП 2.04.03</w:t>
        </w:r>
      </w:hyperlink>
      <w:r>
        <w:t>. На участках рельефа, где скорости течения дождевых вод выше</w:t>
      </w:r>
    </w:p>
    <w:p w:rsidR="00000000" w:rsidRDefault="00F36ADD">
      <w:pPr>
        <w:ind w:firstLine="426"/>
        <w:jc w:val="both"/>
      </w:pPr>
      <w:r>
        <w:t xml:space="preserve">максимально допустимых, требуется устройство быстротоков (ступенчатых перепадов), проектирование которых осуществляется в соответствии с требованиями СНиП РК 4.01-02, </w:t>
      </w:r>
      <w:hyperlink r:id="rId85" w:history="1">
        <w:r>
          <w:rPr>
            <w:rStyle w:val="a4"/>
            <w:color w:val="0000FF"/>
            <w:u w:val="single"/>
          </w:rPr>
          <w:t>СНиП 2.04.03</w:t>
        </w:r>
      </w:hyperlink>
      <w:r>
        <w:t>.</w:t>
      </w:r>
    </w:p>
    <w:p w:rsidR="00000000" w:rsidRDefault="00F36ADD">
      <w:pPr>
        <w:ind w:firstLine="426"/>
        <w:jc w:val="both"/>
      </w:pPr>
      <w:r>
        <w:t>4.1.13 На территориях рекреаций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w:t>
      </w:r>
      <w:r>
        <w:t xml:space="preserve"> колотой или пиленой брусчатки, каменной плитки и др.), стыки замоноличивать раствором высококачественной глины.</w:t>
      </w:r>
    </w:p>
    <w:p w:rsidR="00000000" w:rsidRDefault="00F36ADD">
      <w:pPr>
        <w:ind w:firstLine="426"/>
        <w:jc w:val="both"/>
      </w:pPr>
      <w:r>
        <w:t>4.1.14 Размещение дождеприемных колодцев в лотках проезжих частей улиц и проездов устраивается в зависимости от продольного уклона улиц (таблиц</w:t>
      </w:r>
      <w:r>
        <w:t>а 2).</w:t>
      </w:r>
    </w:p>
    <w:p w:rsidR="00000000" w:rsidRDefault="00F36ADD">
      <w:pPr>
        <w:ind w:firstLine="426"/>
        <w:jc w:val="both"/>
      </w:pPr>
      <w:r>
        <w:rPr>
          <w:b/>
          <w:bCs/>
        </w:rPr>
        <w:t> </w:t>
      </w:r>
    </w:p>
    <w:p w:rsidR="00000000" w:rsidRDefault="00F36ADD">
      <w:pPr>
        <w:ind w:firstLine="426"/>
        <w:jc w:val="center"/>
      </w:pPr>
      <w:r>
        <w:rPr>
          <w:b/>
          <w:bCs/>
        </w:rPr>
        <w:t>Таблица 2 - Размещение дождеприемных колодцев в лотках проезжих частей улиц и проездов</w:t>
      </w:r>
    </w:p>
    <w:p w:rsidR="00000000" w:rsidRDefault="00F36ADD">
      <w:pPr>
        <w:ind w:firstLine="426"/>
        <w:jc w:val="center"/>
      </w:pPr>
      <w:r>
        <w:t> </w:t>
      </w:r>
    </w:p>
    <w:tbl>
      <w:tblPr>
        <w:tblW w:w="0" w:type="auto"/>
        <w:tblInd w:w="-3047" w:type="dxa"/>
        <w:tblCellMar>
          <w:left w:w="0" w:type="dxa"/>
          <w:right w:w="0" w:type="dxa"/>
        </w:tblCellMar>
        <w:tblLook w:val="04A0" w:firstRow="1" w:lastRow="0" w:firstColumn="1" w:lastColumn="0" w:noHBand="0" w:noVBand="1"/>
      </w:tblPr>
      <w:tblGrid>
        <w:gridCol w:w="6425"/>
        <w:gridCol w:w="5957"/>
      </w:tblGrid>
      <w:tr w:rsidR="00000000">
        <w:trPr>
          <w:trHeight w:val="20"/>
        </w:trPr>
        <w:tc>
          <w:tcPr>
            <w:tcW w:w="655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Уклон проезжей части улицы, ‰</w:t>
            </w:r>
          </w:p>
        </w:tc>
        <w:tc>
          <w:tcPr>
            <w:tcW w:w="605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Расстояние между дождеприемными колодцами, м</w:t>
            </w:r>
          </w:p>
        </w:tc>
      </w:tr>
      <w:tr w:rsidR="00000000">
        <w:trPr>
          <w:trHeight w:val="20"/>
        </w:trPr>
        <w:tc>
          <w:tcPr>
            <w:tcW w:w="65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До 4</w:t>
            </w:r>
          </w:p>
        </w:tc>
        <w:tc>
          <w:tcPr>
            <w:tcW w:w="60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r>
      <w:tr w:rsidR="00000000">
        <w:trPr>
          <w:trHeight w:val="20"/>
        </w:trPr>
        <w:tc>
          <w:tcPr>
            <w:tcW w:w="65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5-10</w:t>
            </w:r>
          </w:p>
        </w:tc>
        <w:tc>
          <w:tcPr>
            <w:tcW w:w="60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60-70</w:t>
            </w:r>
          </w:p>
        </w:tc>
      </w:tr>
      <w:tr w:rsidR="00000000">
        <w:trPr>
          <w:trHeight w:val="20"/>
        </w:trPr>
        <w:tc>
          <w:tcPr>
            <w:tcW w:w="65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10-30</w:t>
            </w:r>
          </w:p>
        </w:tc>
        <w:tc>
          <w:tcPr>
            <w:tcW w:w="60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70-80</w:t>
            </w:r>
          </w:p>
        </w:tc>
      </w:tr>
      <w:tr w:rsidR="00000000">
        <w:trPr>
          <w:trHeight w:val="20"/>
        </w:trPr>
        <w:tc>
          <w:tcPr>
            <w:tcW w:w="65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Свыше 30</w:t>
            </w:r>
          </w:p>
        </w:tc>
        <w:tc>
          <w:tcPr>
            <w:tcW w:w="60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более 60</w:t>
            </w:r>
          </w:p>
        </w:tc>
      </w:tr>
      <w:tr w:rsidR="00000000">
        <w:trPr>
          <w:trHeight w:val="20"/>
        </w:trPr>
        <w:tc>
          <w:tcPr>
            <w:tcW w:w="12609"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xml:space="preserve">ПРИМЕЧАНИЕ. Пропускная способность одной горизонтальной водоприемной решетки определяется по формуле: </w:t>
            </w:r>
          </w:p>
          <w:p w:rsidR="00000000" w:rsidRDefault="00F36ADD">
            <w:r>
              <w:t xml:space="preserve">при H &lt;= 1,33 W/I  Q = 1/5 IH куб. м/с, </w:t>
            </w:r>
          </w:p>
          <w:p w:rsidR="00000000" w:rsidRDefault="00F36ADD">
            <w:r>
              <w:t xml:space="preserve">при Н &gt;= 1,33 W/I  Q = 2W H куб. м/с, </w:t>
            </w:r>
          </w:p>
          <w:p w:rsidR="00000000" w:rsidRDefault="00F36ADD">
            <w:r>
              <w:t xml:space="preserve">где: </w:t>
            </w:r>
          </w:p>
          <w:p w:rsidR="00000000" w:rsidRDefault="00F36ADD">
            <w:r>
              <w:t xml:space="preserve">H - полный напор, равный H1 + V/2; </w:t>
            </w:r>
          </w:p>
          <w:p w:rsidR="00000000" w:rsidRDefault="00F36ADD">
            <w:r>
              <w:t>H1 - глубина потока воды на под</w:t>
            </w:r>
            <w:r>
              <w:t xml:space="preserve">ходе к решетке, м; </w:t>
            </w:r>
          </w:p>
          <w:p w:rsidR="00000000" w:rsidRDefault="00F36ADD">
            <w:r>
              <w:t xml:space="preserve">V - скорость подхода воды, м/с; </w:t>
            </w:r>
          </w:p>
          <w:p w:rsidR="00000000" w:rsidRDefault="00F36ADD">
            <w:r>
              <w:t xml:space="preserve">W - площадь всех отверстий решетки, кв. м; </w:t>
            </w:r>
          </w:p>
          <w:p w:rsidR="00000000" w:rsidRDefault="00F36ADD">
            <w:r>
              <w:t>I - длина водосливного фронта, м, равная периметру решетки, а при примыкании решетки одной стороной к бортику лотка - сумма длин трех ее сторон.</w:t>
            </w:r>
          </w:p>
        </w:tc>
      </w:tr>
    </w:tbl>
    <w:p w:rsidR="00000000" w:rsidRDefault="00F36ADD">
      <w:pPr>
        <w:ind w:firstLine="426"/>
      </w:pPr>
      <w:r>
        <w:t> </w:t>
      </w:r>
    </w:p>
    <w:p w:rsidR="00000000" w:rsidRDefault="00F36ADD">
      <w:pPr>
        <w:ind w:firstLine="426"/>
        <w:jc w:val="both"/>
      </w:pPr>
      <w:r>
        <w:t xml:space="preserve">4.1.15 Проектирование и оборудование дождеприемных колодцев решетками следует осуществлять согласно </w:t>
      </w:r>
      <w:hyperlink r:id="rId86" w:history="1">
        <w:r>
          <w:rPr>
            <w:rStyle w:val="a4"/>
            <w:color w:val="0000FF"/>
            <w:u w:val="single"/>
          </w:rPr>
          <w:t>ГОСТ 3634</w:t>
        </w:r>
      </w:hyperlink>
      <w:r>
        <w:t>. При обустройстве решеток, перекрывающих водоотводящие лотки на пешеходных коммун</w:t>
      </w:r>
      <w:r>
        <w:t>икациях, ребра решеток не должны быть расположены вдоль направления пешеходного движения, а ширину отверстий между ребрами следует принимать не более 15 мм.</w:t>
      </w:r>
    </w:p>
    <w:p w:rsidR="00000000" w:rsidRDefault="00F36ADD">
      <w:pPr>
        <w:ind w:firstLine="426"/>
        <w:jc w:val="both"/>
      </w:pPr>
      <w:r>
        <w:t>4.1.16 При ширине улицы в красных линиях более 30 м и уклонах более 30‰ расстояние между дождеприем</w:t>
      </w:r>
      <w:r>
        <w:t>ными колодцами должно быть не более 60 м. В случае превышения указанного расстояния необходимо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w:t>
      </w:r>
      <w:r>
        <w:t>рассируемых на водоразделах, допускается увеличение расстояния между дождеприемными колодцами в два раза. При формировании значительного объема стока в пределах внутриквартальных территорий необходимо предусматривать ввод дождевой канализации в ее границы,</w:t>
      </w:r>
      <w:r>
        <w:t xml:space="preserve"> что должно быть обосновано расчетом.</w:t>
      </w:r>
    </w:p>
    <w:p w:rsidR="00000000" w:rsidRDefault="00F36ADD">
      <w:pPr>
        <w:ind w:firstLine="426"/>
        <w:jc w:val="both"/>
      </w:pPr>
      <w:r>
        <w:rPr>
          <w:b/>
          <w:bCs/>
        </w:rPr>
        <w:lastRenderedPageBreak/>
        <w:t>4.2 Озеленение территорий</w:t>
      </w:r>
    </w:p>
    <w:p w:rsidR="00000000" w:rsidRDefault="00F36ADD">
      <w:pPr>
        <w:ind w:firstLine="426"/>
        <w:jc w:val="both"/>
      </w:pPr>
      <w:r>
        <w:t>4.2.1 На территории населенных пунктов используются различные приемы или формы озеленения: стационарные (посадка растений в грунт), мобильные (посадка растений в специальные передвижные емкост</w:t>
      </w:r>
      <w:r>
        <w:t xml:space="preserve">и - контейнеры, вазоны и т.д.), компактные (вертикальное, многоуровневое озеленение и т.п.) и др. При проектировании озеленения и защиты зеленых насаждений рекомендуется руководствоваться </w:t>
      </w:r>
      <w:hyperlink r:id="rId87" w:anchor="sub_id=1" w:history="1">
        <w:r>
          <w:rPr>
            <w:rStyle w:val="a4"/>
            <w:color w:val="0000FF"/>
            <w:u w:val="single"/>
          </w:rPr>
          <w:t>приложением А</w:t>
        </w:r>
      </w:hyperlink>
      <w:r>
        <w:t>.</w:t>
      </w:r>
    </w:p>
    <w:p w:rsidR="00000000" w:rsidRDefault="00F36ADD">
      <w:pPr>
        <w:ind w:firstLine="426"/>
        <w:jc w:val="both"/>
      </w:pPr>
      <w:r>
        <w:rPr>
          <w:b/>
          <w:bCs/>
        </w:rPr>
        <w:t> </w:t>
      </w:r>
    </w:p>
    <w:p w:rsidR="00000000" w:rsidRDefault="00F36ADD">
      <w:pPr>
        <w:jc w:val="center"/>
      </w:pPr>
      <w:r>
        <w:rPr>
          <w:rStyle w:val="s1"/>
        </w:rPr>
        <w:t>Таблица 3 - Минимальные расстояния от объектов строительства до зеленых насаждений</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6326"/>
        <w:gridCol w:w="1443"/>
        <w:gridCol w:w="1566"/>
      </w:tblGrid>
      <w:tr w:rsidR="00000000">
        <w:trPr>
          <w:trHeight w:val="20"/>
        </w:trPr>
        <w:tc>
          <w:tcPr>
            <w:tcW w:w="338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Сооружения, здания, коммуникации</w:t>
            </w:r>
          </w:p>
        </w:tc>
        <w:tc>
          <w:tcPr>
            <w:tcW w:w="161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Расстояния до оси растения,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дерева</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кустарника</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наружных стен зданий и сооружений</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наружных стен школьного здания или здания детского сада</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осей трамвайных путей</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края тротуаров и садовых дорожек</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0,7</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края проезжей части, улиц, кромок укрепленных полос, обочины дорог и бровок канав</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мачт и опор</w:t>
            </w:r>
            <w:r>
              <w:t xml:space="preserve"> осветительной сети трамвая, колонны галерей и эстакад</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подошвы откосов, террас и др.</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 подошвы и внутренней грани подпорных стенок</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33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От подземных сетей:</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w:t>
            </w:r>
          </w:p>
        </w:tc>
        <w:tc>
          <w:tcPr>
            <w:tcW w:w="839"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33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газопровода, канализации</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1,5</w:t>
            </w:r>
          </w:p>
        </w:tc>
        <w:tc>
          <w:tcPr>
            <w:tcW w:w="839"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33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теплопровода, трубопровода, теплосетей</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2,0</w:t>
            </w:r>
          </w:p>
        </w:tc>
        <w:tc>
          <w:tcPr>
            <w:tcW w:w="839"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33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водопровода, дренажей</w:t>
            </w:r>
          </w:p>
        </w:tc>
        <w:tc>
          <w:tcPr>
            <w:tcW w:w="773"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2,0</w:t>
            </w:r>
          </w:p>
        </w:tc>
        <w:tc>
          <w:tcPr>
            <w:tcW w:w="839"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33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силовых кабелей и кабелей связи</w:t>
            </w:r>
          </w:p>
        </w:tc>
        <w:tc>
          <w:tcPr>
            <w:tcW w:w="7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c>
          <w:tcPr>
            <w:tcW w:w="8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0,7</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xml:space="preserve">ПРИМЕЧАНИЕ 1. Приведенные нормативы относятся к деревьям с диаметром кроны не более 5 м и должны быть соответственно увеличены для деревьев большего диаметра. </w:t>
            </w:r>
          </w:p>
          <w:p w:rsidR="00000000" w:rsidRDefault="00F36ADD">
            <w:r>
              <w:t>ПРИМЕЧАНИЕ 2. При посадке зеленых насаждений у наружных стен зданий, сооружений, детских учреждений необходимо учитывать и соблюдать нормативные уровни инсоляции и естественного освещения.</w:t>
            </w:r>
          </w:p>
        </w:tc>
      </w:tr>
    </w:tbl>
    <w:p w:rsidR="00000000" w:rsidRDefault="00F36ADD">
      <w:pPr>
        <w:ind w:firstLine="426"/>
      </w:pPr>
      <w:r>
        <w:rPr>
          <w:b/>
          <w:bCs/>
        </w:rPr>
        <w:t> </w:t>
      </w:r>
    </w:p>
    <w:p w:rsidR="00000000" w:rsidRDefault="00F36ADD">
      <w:pPr>
        <w:jc w:val="center"/>
      </w:pPr>
      <w:r>
        <w:rPr>
          <w:rStyle w:val="s1"/>
        </w:rPr>
        <w:t>Таблица 4 - Размеры комов, ям, траншей для посадки деревьев и кустарников</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1519"/>
        <w:gridCol w:w="698"/>
        <w:gridCol w:w="456"/>
        <w:gridCol w:w="759"/>
        <w:gridCol w:w="647"/>
        <w:gridCol w:w="1371"/>
        <w:gridCol w:w="1016"/>
        <w:gridCol w:w="1016"/>
        <w:gridCol w:w="1464"/>
        <w:gridCol w:w="640"/>
      </w:tblGrid>
      <w:tr w:rsidR="00000000">
        <w:trPr>
          <w:trHeight w:val="20"/>
        </w:trPr>
        <w:tc>
          <w:tcPr>
            <w:tcW w:w="1004" w:type="pct"/>
            <w:tcBorders>
              <w:top w:val="single" w:sz="8" w:space="0" w:color="auto"/>
              <w:left w:val="single" w:sz="8" w:space="0" w:color="auto"/>
              <w:bottom w:val="single" w:sz="8" w:space="0" w:color="auto"/>
              <w:right w:val="single" w:sz="8" w:space="0" w:color="auto"/>
            </w:tcBorders>
            <w:hideMark/>
          </w:tcPr>
          <w:p w:rsidR="00000000" w:rsidRDefault="00F36ADD">
            <w:pPr>
              <w:jc w:val="center"/>
            </w:pPr>
            <w:r>
              <w:t>Наименование посадок</w:t>
            </w:r>
          </w:p>
        </w:tc>
        <w:tc>
          <w:tcPr>
            <w:tcW w:w="393" w:type="pct"/>
            <w:tcBorders>
              <w:top w:val="single" w:sz="8" w:space="0" w:color="auto"/>
              <w:left w:val="nil"/>
              <w:bottom w:val="single" w:sz="8" w:space="0" w:color="auto"/>
              <w:right w:val="single" w:sz="8" w:space="0" w:color="auto"/>
            </w:tcBorders>
            <w:hideMark/>
          </w:tcPr>
          <w:p w:rsidR="00000000" w:rsidRDefault="00F36ADD">
            <w:pPr>
              <w:jc w:val="center"/>
            </w:pPr>
            <w:r>
              <w:t>Объем кома, куб. м</w:t>
            </w:r>
          </w:p>
        </w:tc>
        <w:tc>
          <w:tcPr>
            <w:tcW w:w="435" w:type="pct"/>
            <w:tcBorders>
              <w:top w:val="single" w:sz="8" w:space="0" w:color="auto"/>
              <w:left w:val="nil"/>
              <w:bottom w:val="single" w:sz="8" w:space="0" w:color="auto"/>
              <w:right w:val="single" w:sz="8" w:space="0" w:color="auto"/>
            </w:tcBorders>
            <w:hideMark/>
          </w:tcPr>
          <w:p w:rsidR="00000000" w:rsidRDefault="00F36ADD">
            <w:pPr>
              <w:jc w:val="center"/>
            </w:pPr>
            <w:r>
              <w:t>Ед. изм.</w:t>
            </w:r>
          </w:p>
        </w:tc>
        <w:tc>
          <w:tcPr>
            <w:tcW w:w="844" w:type="pct"/>
            <w:gridSpan w:val="2"/>
            <w:tcBorders>
              <w:top w:val="single" w:sz="8" w:space="0" w:color="auto"/>
              <w:left w:val="nil"/>
              <w:bottom w:val="single" w:sz="8" w:space="0" w:color="auto"/>
              <w:right w:val="single" w:sz="8" w:space="0" w:color="auto"/>
            </w:tcBorders>
            <w:hideMark/>
          </w:tcPr>
          <w:p w:rsidR="00000000" w:rsidRDefault="00F36ADD">
            <w:pPr>
              <w:jc w:val="center"/>
            </w:pPr>
            <w:r>
              <w:t>Размер посадочных ям, м</w:t>
            </w:r>
          </w:p>
        </w:tc>
        <w:tc>
          <w:tcPr>
            <w:tcW w:w="6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Объем ямы, куб. м</w:t>
            </w:r>
          </w:p>
        </w:tc>
        <w:tc>
          <w:tcPr>
            <w:tcW w:w="5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Площадь ямы, кв. м</w:t>
            </w:r>
          </w:p>
        </w:tc>
        <w:tc>
          <w:tcPr>
            <w:tcW w:w="118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Расход растительной земли при замене</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pPr>
              <w:jc w:val="center"/>
            </w:pPr>
            <w:r>
              <w:t>1</w:t>
            </w:r>
          </w:p>
        </w:tc>
        <w:tc>
          <w:tcPr>
            <w:tcW w:w="393" w:type="pct"/>
            <w:tcBorders>
              <w:top w:val="nil"/>
              <w:left w:val="nil"/>
              <w:bottom w:val="single" w:sz="8" w:space="0" w:color="auto"/>
              <w:right w:val="single" w:sz="8" w:space="0" w:color="auto"/>
            </w:tcBorders>
            <w:hideMark/>
          </w:tcPr>
          <w:p w:rsidR="00000000" w:rsidRDefault="00F36ADD">
            <w:pPr>
              <w:jc w:val="center"/>
            </w:pPr>
            <w:r>
              <w:t>2</w:t>
            </w:r>
          </w:p>
        </w:tc>
        <w:tc>
          <w:tcPr>
            <w:tcW w:w="435" w:type="pct"/>
            <w:tcBorders>
              <w:top w:val="nil"/>
              <w:left w:val="nil"/>
              <w:bottom w:val="single" w:sz="8" w:space="0" w:color="auto"/>
              <w:right w:val="single" w:sz="8" w:space="0" w:color="auto"/>
            </w:tcBorders>
            <w:hideMark/>
          </w:tcPr>
          <w:p w:rsidR="00000000" w:rsidRDefault="00F36ADD">
            <w:pPr>
              <w:jc w:val="center"/>
            </w:pPr>
            <w:r>
              <w:t>3</w:t>
            </w:r>
          </w:p>
        </w:tc>
        <w:tc>
          <w:tcPr>
            <w:tcW w:w="844" w:type="pct"/>
            <w:gridSpan w:val="2"/>
            <w:tcBorders>
              <w:top w:val="nil"/>
              <w:left w:val="nil"/>
              <w:bottom w:val="single" w:sz="8" w:space="0" w:color="auto"/>
              <w:right w:val="single" w:sz="8" w:space="0" w:color="auto"/>
            </w:tcBorders>
            <w:hideMark/>
          </w:tcPr>
          <w:p w:rsidR="00000000" w:rsidRDefault="00F36ADD">
            <w:pPr>
              <w:jc w:val="center"/>
            </w:pPr>
            <w:r>
              <w:t>4</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w:t>
            </w:r>
          </w:p>
        </w:tc>
        <w:tc>
          <w:tcPr>
            <w:tcW w:w="11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 </w:t>
            </w:r>
          </w:p>
        </w:tc>
        <w:tc>
          <w:tcPr>
            <w:tcW w:w="393" w:type="pct"/>
            <w:tcBorders>
              <w:top w:val="nil"/>
              <w:left w:val="nil"/>
              <w:bottom w:val="single" w:sz="8" w:space="0" w:color="auto"/>
              <w:right w:val="single" w:sz="8" w:space="0" w:color="auto"/>
            </w:tcBorders>
            <w:hideMark/>
          </w:tcPr>
          <w:p w:rsidR="00000000" w:rsidRDefault="00F36ADD">
            <w:r>
              <w:t> </w:t>
            </w:r>
          </w:p>
        </w:tc>
        <w:tc>
          <w:tcPr>
            <w:tcW w:w="435" w:type="pct"/>
            <w:tcBorders>
              <w:top w:val="nil"/>
              <w:left w:val="nil"/>
              <w:bottom w:val="single" w:sz="8" w:space="0" w:color="auto"/>
              <w:right w:val="single" w:sz="8" w:space="0" w:color="auto"/>
            </w:tcBorders>
            <w:hideMark/>
          </w:tcPr>
          <w:p w:rsidR="00000000" w:rsidRDefault="00F36ADD">
            <w:r>
              <w:t> </w:t>
            </w:r>
          </w:p>
        </w:tc>
        <w:tc>
          <w:tcPr>
            <w:tcW w:w="844" w:type="pct"/>
            <w:gridSpan w:val="2"/>
            <w:tcBorders>
              <w:top w:val="nil"/>
              <w:left w:val="nil"/>
              <w:bottom w:val="single" w:sz="8" w:space="0" w:color="auto"/>
              <w:right w:val="single" w:sz="8" w:space="0" w:color="auto"/>
            </w:tcBorders>
            <w:hideMark/>
          </w:tcPr>
          <w:p w:rsidR="00000000" w:rsidRDefault="00F36ADD">
            <w:pPr>
              <w:jc w:val="center"/>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Саженцы без кома:</w:t>
            </w:r>
          </w:p>
        </w:tc>
        <w:tc>
          <w:tcPr>
            <w:tcW w:w="393" w:type="pct"/>
            <w:tcBorders>
              <w:top w:val="nil"/>
              <w:left w:val="nil"/>
              <w:bottom w:val="single" w:sz="8" w:space="0" w:color="auto"/>
              <w:right w:val="single" w:sz="8" w:space="0" w:color="auto"/>
            </w:tcBorders>
            <w:hideMark/>
          </w:tcPr>
          <w:p w:rsidR="00000000" w:rsidRDefault="00F36ADD">
            <w:r>
              <w:t> </w:t>
            </w:r>
          </w:p>
        </w:tc>
        <w:tc>
          <w:tcPr>
            <w:tcW w:w="435" w:type="pct"/>
            <w:tcBorders>
              <w:top w:val="nil"/>
              <w:left w:val="nil"/>
              <w:bottom w:val="single" w:sz="8" w:space="0" w:color="auto"/>
              <w:right w:val="single" w:sz="8" w:space="0" w:color="auto"/>
            </w:tcBorders>
            <w:hideMark/>
          </w:tcPr>
          <w:p w:rsidR="00000000" w:rsidRDefault="00F36ADD">
            <w:r>
              <w:t> </w:t>
            </w:r>
          </w:p>
        </w:tc>
        <w:tc>
          <w:tcPr>
            <w:tcW w:w="844" w:type="pct"/>
            <w:gridSpan w:val="2"/>
            <w:tcBorders>
              <w:top w:val="nil"/>
              <w:left w:val="nil"/>
              <w:bottom w:val="single" w:sz="8" w:space="0" w:color="auto"/>
              <w:right w:val="single" w:sz="8" w:space="0" w:color="auto"/>
            </w:tcBorders>
            <w:hideMark/>
          </w:tcPr>
          <w:p w:rsidR="00000000" w:rsidRDefault="00F36ADD">
            <w:pPr>
              <w:jc w:val="center"/>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хвойные</w:t>
            </w:r>
          </w:p>
        </w:tc>
        <w:tc>
          <w:tcPr>
            <w:tcW w:w="393" w:type="pct"/>
            <w:tcBorders>
              <w:top w:val="nil"/>
              <w:left w:val="nil"/>
              <w:bottom w:val="single" w:sz="8" w:space="0" w:color="auto"/>
              <w:right w:val="single" w:sz="8" w:space="0" w:color="auto"/>
            </w:tcBorders>
            <w:hideMark/>
          </w:tcPr>
          <w:p w:rsidR="00000000" w:rsidRDefault="00F36ADD">
            <w:pPr>
              <w:jc w:val="center"/>
            </w:pPr>
            <w:r>
              <w:t>-</w:t>
            </w:r>
          </w:p>
        </w:tc>
        <w:tc>
          <w:tcPr>
            <w:tcW w:w="435" w:type="pct"/>
            <w:tcBorders>
              <w:top w:val="nil"/>
              <w:left w:val="nil"/>
              <w:bottom w:val="single" w:sz="8" w:space="0" w:color="auto"/>
              <w:right w:val="single" w:sz="8" w:space="0" w:color="auto"/>
            </w:tcBorders>
            <w:hideMark/>
          </w:tcPr>
          <w:p w:rsidR="00000000" w:rsidRDefault="00F36ADD">
            <w:pPr>
              <w:jc w:val="center"/>
            </w:pPr>
            <w:r>
              <w:t>шт.</w:t>
            </w:r>
          </w:p>
        </w:tc>
        <w:tc>
          <w:tcPr>
            <w:tcW w:w="844" w:type="pct"/>
            <w:gridSpan w:val="2"/>
            <w:tcBorders>
              <w:top w:val="nil"/>
              <w:left w:val="nil"/>
              <w:bottom w:val="single" w:sz="8" w:space="0" w:color="auto"/>
              <w:right w:val="single" w:sz="8" w:space="0" w:color="auto"/>
            </w:tcBorders>
            <w:hideMark/>
          </w:tcPr>
          <w:p w:rsidR="00000000" w:rsidRDefault="00F36ADD">
            <w:pPr>
              <w:jc w:val="center"/>
            </w:pPr>
            <w:r>
              <w:t>1,0×1,0×0,8</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0,63</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0,79</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0,25</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0,565</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лиственные</w:t>
            </w:r>
          </w:p>
        </w:tc>
        <w:tc>
          <w:tcPr>
            <w:tcW w:w="393" w:type="pct"/>
            <w:tcBorders>
              <w:top w:val="nil"/>
              <w:left w:val="nil"/>
              <w:bottom w:val="single" w:sz="8" w:space="0" w:color="auto"/>
              <w:right w:val="single" w:sz="8" w:space="0" w:color="auto"/>
            </w:tcBorders>
            <w:hideMark/>
          </w:tcPr>
          <w:p w:rsidR="00000000" w:rsidRDefault="00F36ADD">
            <w:pPr>
              <w:jc w:val="center"/>
            </w:pPr>
            <w:r>
              <w:t>-</w:t>
            </w:r>
          </w:p>
        </w:tc>
        <w:tc>
          <w:tcPr>
            <w:tcW w:w="435" w:type="pct"/>
            <w:tcBorders>
              <w:top w:val="nil"/>
              <w:left w:val="nil"/>
              <w:bottom w:val="single" w:sz="8" w:space="0" w:color="auto"/>
              <w:right w:val="single" w:sz="8" w:space="0" w:color="auto"/>
            </w:tcBorders>
            <w:hideMark/>
          </w:tcPr>
          <w:p w:rsidR="00000000" w:rsidRDefault="00F36ADD">
            <w:pPr>
              <w:jc w:val="center"/>
            </w:pPr>
            <w:r>
              <w:t>шт.</w:t>
            </w:r>
          </w:p>
        </w:tc>
        <w:tc>
          <w:tcPr>
            <w:tcW w:w="844" w:type="pct"/>
            <w:gridSpan w:val="2"/>
            <w:tcBorders>
              <w:top w:val="nil"/>
              <w:left w:val="nil"/>
              <w:bottom w:val="single" w:sz="8" w:space="0" w:color="auto"/>
              <w:right w:val="single" w:sz="8" w:space="0" w:color="auto"/>
            </w:tcBorders>
            <w:hideMark/>
          </w:tcPr>
          <w:p w:rsidR="00000000" w:rsidRDefault="00F36ADD">
            <w:pPr>
              <w:jc w:val="center"/>
            </w:pPr>
            <w:r>
              <w:t>0,7×0,7×0,6</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0,27</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0,38</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0,11</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0,241</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Для деревьев с комом:</w:t>
            </w:r>
          </w:p>
        </w:tc>
        <w:tc>
          <w:tcPr>
            <w:tcW w:w="393" w:type="pct"/>
            <w:tcBorders>
              <w:top w:val="nil"/>
              <w:left w:val="nil"/>
              <w:bottom w:val="single" w:sz="8" w:space="0" w:color="auto"/>
              <w:right w:val="single" w:sz="8" w:space="0" w:color="auto"/>
            </w:tcBorders>
            <w:hideMark/>
          </w:tcPr>
          <w:p w:rsidR="00000000" w:rsidRDefault="00F36ADD">
            <w:pPr>
              <w:jc w:val="center"/>
            </w:pPr>
            <w:r>
              <w:t> </w:t>
            </w:r>
          </w:p>
        </w:tc>
        <w:tc>
          <w:tcPr>
            <w:tcW w:w="435" w:type="pct"/>
            <w:tcBorders>
              <w:top w:val="nil"/>
              <w:left w:val="nil"/>
              <w:bottom w:val="single" w:sz="8" w:space="0" w:color="auto"/>
              <w:right w:val="single" w:sz="8" w:space="0" w:color="auto"/>
            </w:tcBorders>
            <w:hideMark/>
          </w:tcPr>
          <w:p w:rsidR="00000000" w:rsidRDefault="00F36ADD">
            <w:pPr>
              <w:jc w:val="center"/>
            </w:pPr>
            <w:r>
              <w:t> </w:t>
            </w:r>
          </w:p>
        </w:tc>
        <w:tc>
          <w:tcPr>
            <w:tcW w:w="844" w:type="pct"/>
            <w:gridSpan w:val="2"/>
            <w:tcBorders>
              <w:top w:val="nil"/>
              <w:left w:val="nil"/>
              <w:bottom w:val="single" w:sz="8" w:space="0" w:color="auto"/>
              <w:right w:val="single" w:sz="8" w:space="0" w:color="auto"/>
            </w:tcBorders>
            <w:hideMark/>
          </w:tcPr>
          <w:p w:rsidR="00000000" w:rsidRDefault="00F36ADD">
            <w:pPr>
              <w:jc w:val="center"/>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0,8×0,8×0,5</w:t>
            </w:r>
          </w:p>
        </w:tc>
        <w:tc>
          <w:tcPr>
            <w:tcW w:w="393" w:type="pct"/>
            <w:tcBorders>
              <w:top w:val="nil"/>
              <w:left w:val="nil"/>
              <w:bottom w:val="single" w:sz="8" w:space="0" w:color="auto"/>
              <w:right w:val="single" w:sz="8" w:space="0" w:color="auto"/>
            </w:tcBorders>
            <w:hideMark/>
          </w:tcPr>
          <w:p w:rsidR="00000000" w:rsidRDefault="00F36ADD">
            <w:pPr>
              <w:jc w:val="center"/>
            </w:pPr>
            <w:r>
              <w:t>0,25</w:t>
            </w:r>
          </w:p>
        </w:tc>
        <w:tc>
          <w:tcPr>
            <w:tcW w:w="435" w:type="pct"/>
            <w:tcBorders>
              <w:top w:val="nil"/>
              <w:left w:val="nil"/>
              <w:bottom w:val="single" w:sz="8" w:space="0" w:color="auto"/>
              <w:right w:val="single" w:sz="8" w:space="0" w:color="auto"/>
            </w:tcBorders>
            <w:hideMark/>
          </w:tcPr>
          <w:p w:rsidR="00000000" w:rsidRDefault="00F36ADD">
            <w:pPr>
              <w:jc w:val="center"/>
            </w:pPr>
            <w:r>
              <w:t>шт.</w:t>
            </w:r>
          </w:p>
        </w:tc>
        <w:tc>
          <w:tcPr>
            <w:tcW w:w="844" w:type="pct"/>
            <w:gridSpan w:val="2"/>
            <w:tcBorders>
              <w:top w:val="nil"/>
              <w:left w:val="nil"/>
              <w:bottom w:val="single" w:sz="8" w:space="0" w:color="auto"/>
              <w:right w:val="single" w:sz="8" w:space="0" w:color="auto"/>
            </w:tcBorders>
            <w:hideMark/>
          </w:tcPr>
          <w:p w:rsidR="00000000" w:rsidRDefault="00F36ADD">
            <w:pPr>
              <w:jc w:val="center"/>
            </w:pPr>
            <w:r>
              <w:t>1,5×1,5×0,85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1,76</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0,48</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1,08</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1,0×1,0×</w:t>
            </w:r>
            <w:r>
              <w:t>0,6</w:t>
            </w:r>
          </w:p>
        </w:tc>
        <w:tc>
          <w:tcPr>
            <w:tcW w:w="393" w:type="pct"/>
            <w:tcBorders>
              <w:top w:val="nil"/>
              <w:left w:val="nil"/>
              <w:bottom w:val="single" w:sz="8" w:space="0" w:color="auto"/>
              <w:right w:val="single" w:sz="8" w:space="0" w:color="auto"/>
            </w:tcBorders>
            <w:hideMark/>
          </w:tcPr>
          <w:p w:rsidR="00000000" w:rsidRDefault="00F36ADD">
            <w:pPr>
              <w:jc w:val="center"/>
            </w:pPr>
            <w:r>
              <w:t>0,6</w:t>
            </w:r>
          </w:p>
        </w:tc>
        <w:tc>
          <w:tcPr>
            <w:tcW w:w="435" w:type="pct"/>
            <w:tcBorders>
              <w:top w:val="nil"/>
              <w:left w:val="nil"/>
              <w:bottom w:val="single" w:sz="8" w:space="0" w:color="auto"/>
              <w:right w:val="single" w:sz="8" w:space="0" w:color="auto"/>
            </w:tcBorders>
            <w:hideMark/>
          </w:tcPr>
          <w:p w:rsidR="00000000" w:rsidRDefault="00F36ADD">
            <w:pPr>
              <w:jc w:val="center"/>
            </w:pPr>
            <w:r>
              <w:t>шт.</w:t>
            </w:r>
          </w:p>
        </w:tc>
        <w:tc>
          <w:tcPr>
            <w:tcW w:w="844" w:type="pct"/>
            <w:gridSpan w:val="2"/>
            <w:tcBorders>
              <w:top w:val="nil"/>
              <w:left w:val="nil"/>
              <w:bottom w:val="single" w:sz="8" w:space="0" w:color="auto"/>
              <w:right w:val="single" w:sz="8" w:space="0" w:color="auto"/>
            </w:tcBorders>
            <w:hideMark/>
          </w:tcPr>
          <w:p w:rsidR="00000000" w:rsidRDefault="00F36ADD">
            <w:pPr>
              <w:jc w:val="center"/>
            </w:pPr>
            <w:r>
              <w:t>1,9×1,9×0,85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3,07</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3,61</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0,99</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2,23</w:t>
            </w:r>
          </w:p>
        </w:tc>
      </w:tr>
      <w:tr w:rsidR="00000000">
        <w:trPr>
          <w:trHeight w:val="20"/>
        </w:trPr>
        <w:tc>
          <w:tcPr>
            <w:tcW w:w="1004" w:type="pct"/>
            <w:tcBorders>
              <w:top w:val="nil"/>
              <w:left w:val="single" w:sz="8" w:space="0" w:color="auto"/>
              <w:bottom w:val="single" w:sz="8" w:space="0" w:color="auto"/>
              <w:right w:val="single" w:sz="8" w:space="0" w:color="auto"/>
            </w:tcBorders>
            <w:hideMark/>
          </w:tcPr>
          <w:p w:rsidR="00000000" w:rsidRDefault="00F36ADD">
            <w:r>
              <w:t>1,3×1,3×0,6</w:t>
            </w:r>
          </w:p>
        </w:tc>
        <w:tc>
          <w:tcPr>
            <w:tcW w:w="393" w:type="pct"/>
            <w:tcBorders>
              <w:top w:val="nil"/>
              <w:left w:val="nil"/>
              <w:bottom w:val="single" w:sz="8" w:space="0" w:color="auto"/>
              <w:right w:val="single" w:sz="8" w:space="0" w:color="auto"/>
            </w:tcBorders>
            <w:hideMark/>
          </w:tcPr>
          <w:p w:rsidR="00000000" w:rsidRDefault="00F36ADD">
            <w:pPr>
              <w:jc w:val="center"/>
            </w:pPr>
            <w:r>
              <w:t>1,01</w:t>
            </w:r>
          </w:p>
        </w:tc>
        <w:tc>
          <w:tcPr>
            <w:tcW w:w="435" w:type="pct"/>
            <w:tcBorders>
              <w:top w:val="nil"/>
              <w:left w:val="nil"/>
              <w:bottom w:val="single" w:sz="8" w:space="0" w:color="auto"/>
              <w:right w:val="single" w:sz="8" w:space="0" w:color="auto"/>
            </w:tcBorders>
            <w:hideMark/>
          </w:tcPr>
          <w:p w:rsidR="00000000" w:rsidRDefault="00F36ADD">
            <w:pPr>
              <w:jc w:val="center"/>
            </w:pPr>
            <w:r>
              <w:t>шт.</w:t>
            </w:r>
          </w:p>
        </w:tc>
        <w:tc>
          <w:tcPr>
            <w:tcW w:w="844" w:type="pct"/>
            <w:gridSpan w:val="2"/>
            <w:tcBorders>
              <w:top w:val="nil"/>
              <w:left w:val="nil"/>
              <w:bottom w:val="single" w:sz="8" w:space="0" w:color="auto"/>
              <w:right w:val="single" w:sz="8" w:space="0" w:color="auto"/>
            </w:tcBorders>
            <w:hideMark/>
          </w:tcPr>
          <w:p w:rsidR="00000000" w:rsidRDefault="00F36ADD">
            <w:pPr>
              <w:jc w:val="center"/>
            </w:pPr>
            <w:r>
              <w:t>2,2×2,2×0,85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4,11</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4,84</w:t>
            </w:r>
          </w:p>
        </w:tc>
        <w:tc>
          <w:tcPr>
            <w:tcW w:w="82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1,24</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2,97</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lastRenderedPageBreak/>
              <w:t>1,5×1,5×0,6</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1,46</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w:t>
            </w:r>
          </w:p>
        </w:tc>
        <w:tc>
          <w:tcPr>
            <w:tcW w:w="602"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F36ADD">
            <w:pPr>
              <w:jc w:val="center"/>
            </w:pPr>
            <w:r>
              <w:t>2,4×2,4×0,85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5,18</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5,76</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1,49</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3,35</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1,7×1,7×0,6</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1,88</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2,6×2,6×0,85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6,08</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6,76</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1,68</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3,79</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2,0×2,0×0,6</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3,20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2,9×2,9×1,05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8,83</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8,41</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2,25</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5,06</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Кустарники:</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Однорядн. живая изгородь б/кома</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п.м</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0,5×0,5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0,25</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0,22 5</w:t>
            </w:r>
          </w:p>
        </w:tc>
      </w:tr>
      <w:tr w:rsidR="00000000">
        <w:trPr>
          <w:trHeight w:val="20"/>
        </w:trPr>
        <w:tc>
          <w:tcPr>
            <w:tcW w:w="1832" w:type="pct"/>
            <w:gridSpan w:val="3"/>
            <w:tcBorders>
              <w:top w:val="nil"/>
              <w:left w:val="single" w:sz="8" w:space="0" w:color="auto"/>
              <w:bottom w:val="nil"/>
              <w:right w:val="single" w:sz="8" w:space="0" w:color="auto"/>
            </w:tcBorders>
            <w:hideMark/>
          </w:tcPr>
          <w:p w:rsidR="00000000" w:rsidRDefault="00F36ADD">
            <w:r>
              <w:t>Двухрядн. живая изгородь б/кома</w:t>
            </w:r>
          </w:p>
        </w:tc>
        <w:tc>
          <w:tcPr>
            <w:tcW w:w="42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416"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п.м</w:t>
            </w:r>
          </w:p>
        </w:tc>
        <w:tc>
          <w:tcPr>
            <w:tcW w:w="602"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0,7×0,7</w:t>
            </w:r>
          </w:p>
        </w:tc>
        <w:tc>
          <w:tcPr>
            <w:tcW w:w="53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0,35</w:t>
            </w:r>
          </w:p>
        </w:tc>
        <w:tc>
          <w:tcPr>
            <w:tcW w:w="407"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0,7</w:t>
            </w:r>
          </w:p>
        </w:tc>
        <w:tc>
          <w:tcPr>
            <w:tcW w:w="41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0,14</w:t>
            </w:r>
          </w:p>
        </w:tc>
        <w:tc>
          <w:tcPr>
            <w:tcW w:w="36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0,31</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Наименование посадок</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Объем кома, куб. м</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Ед. изм.</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Размер посадочных ям, м</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Объем ямы, куб. м</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Площадь ямы,</w:t>
            </w:r>
          </w:p>
          <w:p w:rsidR="00000000" w:rsidRDefault="00F36ADD">
            <w:pPr>
              <w:jc w:val="center"/>
            </w:pPr>
            <w:r>
              <w:t>кв. м</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Расход растительной земли при замене</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Кустарники в группах б/кома</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0,5×0,5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0,14</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0,29</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0,057</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0,127</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Для кустарников с комом:</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Д-0,5 Н-0,4</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0,08</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1,0×0,65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0,51</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0,79</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0,17</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0,39</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Ц-0,8 Н-0,5</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0,25</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1,5×0,85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1,76</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0,48</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1,08</w:t>
            </w:r>
          </w:p>
        </w:tc>
      </w:tr>
      <w:tr w:rsidR="00000000">
        <w:trPr>
          <w:trHeight w:val="20"/>
        </w:trPr>
        <w:tc>
          <w:tcPr>
            <w:tcW w:w="1832" w:type="pct"/>
            <w:gridSpan w:val="3"/>
            <w:tcBorders>
              <w:top w:val="nil"/>
              <w:left w:val="single" w:sz="8" w:space="0" w:color="auto"/>
              <w:bottom w:val="single" w:sz="8" w:space="0" w:color="auto"/>
              <w:right w:val="single" w:sz="8" w:space="0" w:color="auto"/>
            </w:tcBorders>
            <w:hideMark/>
          </w:tcPr>
          <w:p w:rsidR="00000000" w:rsidRDefault="00F36ADD">
            <w:r>
              <w:t>Ц-1,0 Н-0,6</w:t>
            </w:r>
          </w:p>
        </w:tc>
        <w:tc>
          <w:tcPr>
            <w:tcW w:w="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0,6</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1,9×1,9×0,85</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3,07</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3,61</w:t>
            </w:r>
          </w:p>
        </w:tc>
        <w:tc>
          <w:tcPr>
            <w:tcW w:w="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0,99</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2,23</w:t>
            </w:r>
          </w:p>
        </w:tc>
      </w:tr>
    </w:tbl>
    <w:p w:rsidR="00000000" w:rsidRDefault="00F36ADD">
      <w:pPr>
        <w:ind w:firstLine="426"/>
      </w:pPr>
      <w:r>
        <w:rPr>
          <w:b/>
          <w:bCs/>
        </w:rPr>
        <w:t> </w:t>
      </w:r>
    </w:p>
    <w:p w:rsidR="00000000" w:rsidRDefault="00F36ADD">
      <w:pPr>
        <w:jc w:val="center"/>
      </w:pPr>
      <w:r>
        <w:rPr>
          <w:rStyle w:val="s1"/>
        </w:rPr>
        <w:t>Таблица 5 - Комплексное благоустройство территории парковых комплексов в зависимости от нормативно допустимой рекреационной нагрузки</w:t>
      </w:r>
    </w:p>
    <w:p w:rsidR="00000000" w:rsidRDefault="00F36ADD">
      <w:pPr>
        <w:ind w:firstLine="426"/>
        <w:jc w:val="center"/>
      </w:pPr>
      <w:r>
        <w:t> </w:t>
      </w:r>
    </w:p>
    <w:tbl>
      <w:tblPr>
        <w:tblW w:w="4995" w:type="pct"/>
        <w:tblCellMar>
          <w:left w:w="0" w:type="dxa"/>
          <w:right w:w="0" w:type="dxa"/>
        </w:tblCellMar>
        <w:tblLook w:val="04A0" w:firstRow="1" w:lastRow="0" w:firstColumn="1" w:lastColumn="0" w:noHBand="0" w:noVBand="1"/>
      </w:tblPr>
      <w:tblGrid>
        <w:gridCol w:w="1621"/>
        <w:gridCol w:w="2305"/>
        <w:gridCol w:w="2436"/>
        <w:gridCol w:w="2964"/>
      </w:tblGrid>
      <w:tr w:rsidR="00000000">
        <w:trPr>
          <w:trHeight w:val="20"/>
        </w:trPr>
        <w:tc>
          <w:tcPr>
            <w:tcW w:w="60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Рекреационная нагрузка, чел./га</w:t>
            </w:r>
          </w:p>
        </w:tc>
        <w:tc>
          <w:tcPr>
            <w:tcW w:w="256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Режим пользования территорией посетителями</w:t>
            </w:r>
          </w:p>
        </w:tc>
        <w:tc>
          <w:tcPr>
            <w:tcW w:w="18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Мероприятия благоустройства и озеленения</w:t>
            </w:r>
          </w:p>
        </w:tc>
      </w:tr>
      <w:tr w:rsidR="00000000">
        <w:trPr>
          <w:trHeight w:val="20"/>
        </w:trPr>
        <w:tc>
          <w:tcPr>
            <w:tcW w:w="6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До 5</w:t>
            </w:r>
          </w:p>
        </w:tc>
        <w:tc>
          <w:tcPr>
            <w:tcW w:w="10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Свободный</w:t>
            </w:r>
          </w:p>
        </w:tc>
        <w:tc>
          <w:tcPr>
            <w:tcW w:w="1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Пользование всей территорией</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6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5-25</w:t>
            </w:r>
          </w:p>
        </w:tc>
        <w:tc>
          <w:tcPr>
            <w:tcW w:w="10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Среднерегулируемый</w:t>
            </w:r>
          </w:p>
        </w:tc>
        <w:tc>
          <w:tcPr>
            <w:tcW w:w="1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Организация дорожно-тропиночной </w:t>
            </w:r>
            <w:r>
              <w:t>сети плотностью 5-8%, прокладка экологических троп</w:t>
            </w:r>
          </w:p>
        </w:tc>
      </w:tr>
      <w:tr w:rsidR="00000000">
        <w:trPr>
          <w:trHeight w:val="20"/>
        </w:trPr>
        <w:tc>
          <w:tcPr>
            <w:tcW w:w="6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0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Организация дорожно-тропиночной сети плотностью 12-15%, прокладка экологических троп, создание на опушках полян буферных и почвозащитных посадок, применение устойчивых к вытаптыванию видов</w:t>
            </w:r>
          </w:p>
        </w:tc>
      </w:tr>
      <w:tr w:rsidR="00000000">
        <w:trPr>
          <w:trHeight w:val="20"/>
        </w:trPr>
        <w:tc>
          <w:tcPr>
            <w:tcW w:w="6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26-50</w:t>
            </w:r>
          </w:p>
        </w:tc>
        <w:tc>
          <w:tcPr>
            <w:tcW w:w="10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травянистой растительности, создание загущенных защитных полос вдоль автомагистралей, </w:t>
            </w:r>
            <w:r>
              <w:lastRenderedPageBreak/>
              <w:t>пересекающих лесопарковый массив или идущих вдоль границ.</w:t>
            </w:r>
          </w:p>
        </w:tc>
      </w:tr>
      <w:tr w:rsidR="00000000">
        <w:trPr>
          <w:trHeight w:val="20"/>
        </w:trPr>
        <w:tc>
          <w:tcPr>
            <w:tcW w:w="60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pPr>
              <w:jc w:val="center"/>
            </w:pPr>
            <w:r>
              <w:lastRenderedPageBreak/>
              <w:t>51-100</w:t>
            </w:r>
          </w:p>
        </w:tc>
        <w:tc>
          <w:tcPr>
            <w:tcW w:w="1019"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Строго регулируемый</w:t>
            </w:r>
          </w:p>
        </w:tc>
        <w:tc>
          <w:tcPr>
            <w:tcW w:w="1548" w:type="pct"/>
            <w:tcBorders>
              <w:top w:val="nil"/>
              <w:left w:val="nil"/>
              <w:bottom w:val="nil"/>
              <w:right w:val="single" w:sz="8" w:space="0" w:color="auto"/>
            </w:tcBorders>
            <w:tcMar>
              <w:top w:w="0" w:type="dxa"/>
              <w:left w:w="40" w:type="dxa"/>
              <w:bottom w:w="0" w:type="dxa"/>
              <w:right w:w="40" w:type="dxa"/>
            </w:tcMar>
            <w:hideMark/>
          </w:tcPr>
          <w:p w:rsidR="00000000" w:rsidRDefault="00F36ADD">
            <w: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1830" w:type="pct"/>
            <w:tcBorders>
              <w:top w:val="nil"/>
              <w:left w:val="nil"/>
              <w:bottom w:val="nil"/>
              <w:right w:val="single" w:sz="8" w:space="0" w:color="auto"/>
            </w:tcBorders>
            <w:tcMar>
              <w:top w:w="0" w:type="dxa"/>
              <w:left w:w="40" w:type="dxa"/>
              <w:bottom w:w="0" w:type="dxa"/>
              <w:right w:w="40" w:type="dxa"/>
            </w:tcMar>
            <w:hideMark/>
          </w:tcPr>
          <w:p w:rsidR="00000000" w:rsidRDefault="00F36ADD">
            <w:r>
              <w:t xml:space="preserve">Функциональное зонирование территории и организация дорожно-тропиночной сети плотностью </w:t>
            </w:r>
            <w:r>
              <w:t>не более 20-25%,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w:t>
            </w:r>
            <w:r>
              <w:t>вещения, а в случае размещения парковых зданий и сооружений водопровода и канализации, теплоснабжения, горячего водоснабжения, телефонизации. Установка мусоросборников, туалетов, МАФ. Организация дорожно-тропиночной сети плотностью 30-40% (более высокая пл</w:t>
            </w:r>
            <w:r>
              <w:t>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000000">
        <w:trPr>
          <w:trHeight w:val="20"/>
        </w:trPr>
        <w:tc>
          <w:tcPr>
            <w:tcW w:w="5000" w:type="pct"/>
            <w:gridSpan w:val="4"/>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 В случае невозможности предо</w:t>
            </w:r>
            <w:r>
              <w:t>твращения превышения нагрузок следует предусматривать формирование нового объекта рекреации в зонах доступности (Таблица 4.6).</w:t>
            </w:r>
          </w:p>
        </w:tc>
      </w:tr>
    </w:tbl>
    <w:p w:rsidR="00000000" w:rsidRDefault="00F36ADD">
      <w:pPr>
        <w:ind w:firstLine="426"/>
      </w:pPr>
      <w:r>
        <w:rPr>
          <w:b/>
          <w:bCs/>
        </w:rPr>
        <w:t> </w:t>
      </w:r>
    </w:p>
    <w:p w:rsidR="00000000" w:rsidRDefault="00F36ADD">
      <w:pPr>
        <w:jc w:val="center"/>
      </w:pPr>
      <w:r>
        <w:rPr>
          <w:rStyle w:val="s1"/>
        </w:rPr>
        <w:t>Таблица 6 - Ориентировочный уровень предельной рекреационной нагрузки</w:t>
      </w:r>
    </w:p>
    <w:p w:rsidR="00000000" w:rsidRDefault="00F36ADD">
      <w:pPr>
        <w:ind w:firstLine="426"/>
        <w:jc w:val="center"/>
      </w:pPr>
      <w:r>
        <w:t> </w:t>
      </w:r>
    </w:p>
    <w:tbl>
      <w:tblPr>
        <w:tblW w:w="4986" w:type="pct"/>
        <w:tblCellMar>
          <w:left w:w="0" w:type="dxa"/>
          <w:right w:w="0" w:type="dxa"/>
        </w:tblCellMar>
        <w:tblLook w:val="04A0" w:firstRow="1" w:lastRow="0" w:firstColumn="1" w:lastColumn="0" w:noHBand="0" w:noVBand="1"/>
      </w:tblPr>
      <w:tblGrid>
        <w:gridCol w:w="2557"/>
        <w:gridCol w:w="3738"/>
        <w:gridCol w:w="3014"/>
      </w:tblGrid>
      <w:tr w:rsidR="00000000">
        <w:trPr>
          <w:trHeight w:val="20"/>
        </w:trPr>
        <w:tc>
          <w:tcPr>
            <w:tcW w:w="137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Тип рекреационного объекта города</w:t>
            </w:r>
          </w:p>
        </w:tc>
        <w:tc>
          <w:tcPr>
            <w:tcW w:w="20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Предельная рекреационная нагрузка - число единовременных посетителей, чел./га</w:t>
            </w:r>
          </w:p>
        </w:tc>
        <w:tc>
          <w:tcPr>
            <w:tcW w:w="16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Радиус обслуживания населения (зона доступности)</w:t>
            </w:r>
          </w:p>
        </w:tc>
      </w:tr>
      <w:tr w:rsidR="00000000">
        <w:trPr>
          <w:trHeight w:val="20"/>
        </w:trPr>
        <w:tc>
          <w:tcPr>
            <w:tcW w:w="13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Леса</w:t>
            </w:r>
          </w:p>
        </w:tc>
        <w:tc>
          <w:tcPr>
            <w:tcW w:w="2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более 5</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3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Лесопарки</w:t>
            </w:r>
          </w:p>
        </w:tc>
        <w:tc>
          <w:tcPr>
            <w:tcW w:w="2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более 50</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15-20 мин. трансп. доступн.</w:t>
            </w:r>
          </w:p>
        </w:tc>
      </w:tr>
      <w:tr w:rsidR="00000000">
        <w:trPr>
          <w:trHeight w:val="20"/>
        </w:trPr>
        <w:tc>
          <w:tcPr>
            <w:tcW w:w="13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Сады</w:t>
            </w:r>
          </w:p>
        </w:tc>
        <w:tc>
          <w:tcPr>
            <w:tcW w:w="2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более 100</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400-600 м</w:t>
            </w:r>
          </w:p>
        </w:tc>
      </w:tr>
      <w:tr w:rsidR="00000000">
        <w:trPr>
          <w:trHeight w:val="20"/>
        </w:trPr>
        <w:tc>
          <w:tcPr>
            <w:tcW w:w="13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Парки (многофункцион.)</w:t>
            </w:r>
          </w:p>
        </w:tc>
        <w:tc>
          <w:tcPr>
            <w:tcW w:w="2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более 300</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1,2-1,5 км</w:t>
            </w:r>
          </w:p>
        </w:tc>
      </w:tr>
      <w:tr w:rsidR="00000000">
        <w:trPr>
          <w:trHeight w:val="20"/>
        </w:trPr>
        <w:tc>
          <w:tcPr>
            <w:tcW w:w="137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Скверы, бульвары</w:t>
            </w:r>
          </w:p>
        </w:tc>
        <w:tc>
          <w:tcPr>
            <w:tcW w:w="200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100 и более</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300-400 м</w:t>
            </w:r>
          </w:p>
        </w:tc>
      </w:tr>
      <w:tr w:rsidR="00000000">
        <w:trPr>
          <w:trHeight w:val="20"/>
        </w:trPr>
        <w:tc>
          <w:tcPr>
            <w:tcW w:w="5000" w:type="pct"/>
            <w:gridSpan w:val="3"/>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xml:space="preserve">ПРИМЕЧАНИЕ 1. На территории одного объекта рекреации могут быть выделены зоны с различным уровнем предельной рекреационной нагрузки. </w:t>
            </w:r>
          </w:p>
          <w:p w:rsidR="00000000" w:rsidRDefault="00F36ADD">
            <w:r>
              <w:t>ПРИМЕЧАНИЕ 2. Фактическая рекреационная нагрузка определя</w:t>
            </w:r>
            <w:r>
              <w:t xml:space="preserve">ется замерами, ожидаемая - рассчитывается по формуле: </w:t>
            </w:r>
          </w:p>
          <w:p w:rsidR="00000000" w:rsidRDefault="00F36ADD">
            <w:r>
              <w:t> </w:t>
            </w:r>
          </w:p>
          <w:p w:rsidR="00000000" w:rsidRDefault="00F36ADD">
            <w:pPr>
              <w:jc w:val="center"/>
            </w:pPr>
            <w:r>
              <w:t>R = Ni/Si,</w:t>
            </w:r>
          </w:p>
          <w:p w:rsidR="00000000" w:rsidRDefault="00F36ADD">
            <w:r>
              <w:t> </w:t>
            </w:r>
          </w:p>
          <w:p w:rsidR="00000000" w:rsidRDefault="00F36ADD">
            <w:r>
              <w:t xml:space="preserve">где: </w:t>
            </w:r>
          </w:p>
          <w:p w:rsidR="00000000" w:rsidRDefault="00F36ADD">
            <w:r>
              <w:t xml:space="preserve">R - рекреационная нагрузка; </w:t>
            </w:r>
          </w:p>
          <w:p w:rsidR="00000000" w:rsidRDefault="00F36ADD">
            <w:r>
              <w:t xml:space="preserve">Ni - количество посетителей объектов рекреации; </w:t>
            </w:r>
          </w:p>
          <w:p w:rsidR="00000000" w:rsidRDefault="00F36ADD">
            <w:r>
              <w:t xml:space="preserve">Si - площадь рекреационной территории. </w:t>
            </w:r>
          </w:p>
          <w:p w:rsidR="00000000" w:rsidRDefault="00F36ADD">
            <w:r>
              <w:t>Количество посетителей, одновременно находящихся на территории</w:t>
            </w:r>
            <w:r>
              <w:t xml:space="preserve"> рекреации, рекомендуется принимать 10-15% от численности населения, проживающего в зоне доступности объекта рекреации.</w:t>
            </w:r>
          </w:p>
        </w:tc>
      </w:tr>
    </w:tbl>
    <w:p w:rsidR="00000000" w:rsidRDefault="00F36ADD">
      <w:pPr>
        <w:ind w:firstLine="426"/>
      </w:pPr>
      <w:r>
        <w:t> </w:t>
      </w:r>
    </w:p>
    <w:p w:rsidR="00000000" w:rsidRDefault="00F36ADD">
      <w:pPr>
        <w:ind w:firstLine="426"/>
        <w:jc w:val="both"/>
      </w:pPr>
      <w:r>
        <w:t xml:space="preserve">4.2.2 Минимальные расстояния от посадок деревьев и кустарников до инженерных сетей, зданий и сооружений и размеры комов, ям и траншей для посадки зеленых насаждений приведены соответственно в </w:t>
      </w:r>
      <w:hyperlink r:id="rId88" w:anchor="sub_id=39" w:history="1">
        <w:r>
          <w:rPr>
            <w:rStyle w:val="a4"/>
            <w:color w:val="0000FF"/>
            <w:u w:val="single"/>
          </w:rPr>
          <w:t>таблицах 3</w:t>
        </w:r>
      </w:hyperlink>
      <w:r>
        <w:t xml:space="preserve"> и </w:t>
      </w:r>
      <w:hyperlink r:id="rId89" w:anchor="sub_id=49" w:history="1">
        <w:r>
          <w:rPr>
            <w:rStyle w:val="a4"/>
            <w:color w:val="0000FF"/>
            <w:u w:val="single"/>
          </w:rPr>
          <w:t>4</w:t>
        </w:r>
      </w:hyperlink>
      <w:r>
        <w:t>. Рекомендуется соблюдать максимальное количество насаждений на различных территориях населенного пункта (</w:t>
      </w:r>
      <w:hyperlink r:id="rId90" w:anchor="sub_id=1" w:history="1">
        <w:r>
          <w:rPr>
            <w:rStyle w:val="a4"/>
            <w:color w:val="0000FF"/>
            <w:u w:val="single"/>
          </w:rPr>
          <w:t>приложение А</w:t>
        </w:r>
      </w:hyperlink>
      <w:r>
        <w:t xml:space="preserve">, таблица А.1), ориентировочный процент озеленяемых территорий на участках различного функционального назначения (приложение А, </w:t>
      </w:r>
      <w:hyperlink r:id="rId91" w:anchor="sub_id=13" w:history="1">
        <w:r>
          <w:rPr>
            <w:rStyle w:val="a4"/>
            <w:color w:val="0000FF"/>
            <w:u w:val="single"/>
          </w:rPr>
          <w:t>таблица А.3</w:t>
        </w:r>
      </w:hyperlink>
      <w:r>
        <w:t xml:space="preserve">), параметры и требования для сортировки посадочного материала (приложение А, </w:t>
      </w:r>
      <w:hyperlink r:id="rId92" w:anchor="sub_id=17" w:history="1">
        <w:r>
          <w:rPr>
            <w:rStyle w:val="a4"/>
            <w:color w:val="0000FF"/>
            <w:u w:val="single"/>
          </w:rPr>
          <w:t>таблица А.7</w:t>
        </w:r>
      </w:hyperlink>
      <w:r>
        <w:t>).</w:t>
      </w:r>
    </w:p>
    <w:p w:rsidR="00000000" w:rsidRDefault="00F36ADD">
      <w:pPr>
        <w:ind w:firstLine="426"/>
        <w:jc w:val="both"/>
      </w:pPr>
      <w:r>
        <w:t>4.2.3 При проектировании озеленения на территориях с почвенным покрово</w:t>
      </w:r>
      <w:r>
        <w:t xml:space="preserve">м, нарушенным антропогенной деятельностью, рекомендуется руководствоваться </w:t>
      </w:r>
      <w:hyperlink r:id="rId93" w:anchor="sub_id=2" w:history="1">
        <w:r>
          <w:rPr>
            <w:rStyle w:val="a4"/>
            <w:color w:val="0000FF"/>
            <w:u w:val="single"/>
          </w:rPr>
          <w:t>приложением Б</w:t>
        </w:r>
      </w:hyperlink>
      <w:r>
        <w:t>.</w:t>
      </w:r>
    </w:p>
    <w:p w:rsidR="00000000" w:rsidRDefault="00F36ADD">
      <w:pPr>
        <w:ind w:firstLine="426"/>
        <w:jc w:val="both"/>
      </w:pPr>
      <w:r>
        <w:t>4.2.4 При озеленении территории общественных пространств и объектов рекреации рекоменду</w:t>
      </w:r>
      <w:r>
        <w:t>ется предусматривать цветочное оформление (приложение А, таблица А.2), устройство газонов (</w:t>
      </w:r>
      <w:hyperlink r:id="rId94" w:anchor="sub_id=2" w:history="1">
        <w:r>
          <w:rPr>
            <w:rStyle w:val="a4"/>
            <w:color w:val="0000FF"/>
            <w:u w:val="single"/>
          </w:rPr>
          <w:t>приложение Б</w:t>
        </w:r>
      </w:hyperlink>
      <w:r>
        <w:t>, пункт Б.13), автоматических систем полива и орошения (</w:t>
      </w:r>
      <w:hyperlink r:id="rId95" w:anchor="sub_id=49" w:history="1">
        <w:r>
          <w:rPr>
            <w:rStyle w:val="a4"/>
            <w:color w:val="0000FF"/>
            <w:u w:val="single"/>
          </w:rPr>
          <w:t>таблица 4</w:t>
        </w:r>
      </w:hyperlink>
      <w:r>
        <w:t>). На территориях города с большой площадью замощенных поверхностей, высокой плотностью застройки и подземных коммуникаций рекомендуется применение мобильных и компактных приемов озелен</w:t>
      </w:r>
      <w:r>
        <w:t>ения.</w:t>
      </w:r>
    </w:p>
    <w:p w:rsidR="00000000" w:rsidRDefault="00F36ADD">
      <w:pPr>
        <w:ind w:firstLine="426"/>
        <w:jc w:val="both"/>
      </w:pPr>
      <w:r>
        <w:t xml:space="preserve">4.2.5 При посадке деревьев в зонах действия теплотрасс фактор прогревания почвы в обе стороны от оси теплотрассы учитывают на расстояние: интенсивного прогревания - до 2 м, среднего - 2-6 м, слабого - 6-10 м. У теплотрасс не следует размещать: липу, </w:t>
      </w:r>
      <w:r>
        <w:t>клен, сирень, жимолость ближе 2 м, тополь, боярышник, кизильник, дерен, лиственницу, березу - ближе 3-4 м.</w:t>
      </w:r>
    </w:p>
    <w:p w:rsidR="00000000" w:rsidRDefault="00F36ADD">
      <w:pPr>
        <w:ind w:firstLine="426"/>
        <w:jc w:val="both"/>
      </w:pPr>
      <w:r>
        <w:t>4.2.6 Для защиты от ветра следует использовать зеленые насаждения ажурной конструкции с вертикальной сомкнутостью полога 60-70%.</w:t>
      </w:r>
    </w:p>
    <w:p w:rsidR="00000000" w:rsidRDefault="00F36ADD">
      <w:pPr>
        <w:ind w:firstLine="426"/>
        <w:jc w:val="both"/>
      </w:pPr>
      <w:r>
        <w:t>4.2.7 Шумозащитные н</w:t>
      </w:r>
      <w:r>
        <w:t>асаждения следует проектировать в виде однорядных или многорядных рядовых посадок не ниже 7 м, обеспечивая в ряду расстояния между стволами взрослых деревьев 8-10 м (с широкой кроной), 5-6 м (со средней кроной), 3-4 м (с узкой кроной), подкроновое простран</w:t>
      </w:r>
      <w:r>
        <w:t xml:space="preserve">ство следует заполнять рядами кустарника. Ожидаемый уровень снижения шума указан в </w:t>
      </w:r>
      <w:hyperlink r:id="rId96" w:anchor="sub_id=1" w:history="1">
        <w:r>
          <w:rPr>
            <w:rStyle w:val="a4"/>
            <w:color w:val="0000FF"/>
            <w:u w:val="single"/>
          </w:rPr>
          <w:t>приложении А</w:t>
        </w:r>
      </w:hyperlink>
      <w:r>
        <w:t>, в таблице А.5.</w:t>
      </w:r>
    </w:p>
    <w:p w:rsidR="00000000" w:rsidRDefault="00F36ADD">
      <w:pPr>
        <w:ind w:firstLine="426"/>
        <w:jc w:val="both"/>
      </w:pPr>
      <w:r>
        <w:t>4.2.8 В условиях высокого уровня загрязнения воздуха следует форм</w:t>
      </w:r>
      <w:r>
        <w:t xml:space="preserve">ировать многорядные древесно-кустарниковые посадки: при хорошем режиме проветривания - </w:t>
      </w:r>
      <w:r>
        <w:lastRenderedPageBreak/>
        <w:t>закрытого типа (смыкание крон), при плохом режиме проветривания - открытого, фильтрующего типа (не смыкание крон).</w:t>
      </w:r>
    </w:p>
    <w:p w:rsidR="00000000" w:rsidRDefault="00F36ADD">
      <w:pPr>
        <w:ind w:firstLine="426"/>
        <w:jc w:val="both"/>
      </w:pPr>
      <w:r>
        <w:rPr>
          <w:b/>
          <w:bCs/>
        </w:rPr>
        <w:t>4.3</w:t>
      </w:r>
      <w:r>
        <w:t xml:space="preserve"> </w:t>
      </w:r>
      <w:r>
        <w:rPr>
          <w:b/>
          <w:bCs/>
        </w:rPr>
        <w:t>Виды покрытий</w:t>
      </w:r>
    </w:p>
    <w:p w:rsidR="00000000" w:rsidRDefault="00F36ADD">
      <w:pPr>
        <w:ind w:firstLine="426"/>
        <w:jc w:val="both"/>
      </w:pPr>
      <w:r>
        <w:t>4.3.1 Для целей благоустройства реко</w:t>
      </w:r>
      <w:r>
        <w:t>мендуются следующие виды покрытий:</w:t>
      </w:r>
    </w:p>
    <w:p w:rsidR="00000000" w:rsidRDefault="00F36ADD">
      <w:pPr>
        <w:ind w:firstLine="426"/>
        <w:jc w:val="both"/>
      </w:pPr>
      <w:r>
        <w:t>- твердые (капитальные) - монолитные или сборные, выполняемые из асфальтобетона, цементобетона, природного камня и т.п.;</w:t>
      </w:r>
    </w:p>
    <w:p w:rsidR="00000000" w:rsidRDefault="00F36ADD">
      <w:pPr>
        <w:ind w:firstLine="426"/>
        <w:jc w:val="both"/>
      </w:pPr>
      <w:r>
        <w:t>- «мягкие» (некапитальные) - выполняемые из природных или искусственных сыпучих материалов (песок, щ</w:t>
      </w:r>
      <w:r>
        <w:t>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000000" w:rsidRDefault="00F36ADD">
      <w:pPr>
        <w:ind w:firstLine="426"/>
        <w:jc w:val="both"/>
      </w:pPr>
      <w:r>
        <w:t>- газонные, выполняемые по специальным технологиям подготовки и посадки травяного покрова;</w:t>
      </w:r>
    </w:p>
    <w:p w:rsidR="00000000" w:rsidRDefault="00F36ADD">
      <w:pPr>
        <w:ind w:firstLine="426"/>
        <w:jc w:val="both"/>
      </w:pPr>
      <w:r>
        <w:t>- комбинированные, представляющие сочетания покрытий, указанных выше (плитка или «соты», утопленные в газон, или «мягкое» покрытие).</w:t>
      </w:r>
    </w:p>
    <w:p w:rsidR="00000000" w:rsidRDefault="00F36ADD">
      <w:pPr>
        <w:ind w:firstLine="426"/>
        <w:jc w:val="both"/>
      </w:pPr>
      <w:r>
        <w:t xml:space="preserve">4.3.2 Твердые виды покрытия должны иметь шероховатую поверхность с коэффициентом сцепления в сухом состоянии не менее 0,6, </w:t>
      </w:r>
      <w:r>
        <w:t>в мокром - не менее 0,4.</w:t>
      </w:r>
    </w:p>
    <w:p w:rsidR="00000000" w:rsidRDefault="00F36ADD">
      <w:pPr>
        <w:ind w:firstLine="426"/>
        <w:jc w:val="both"/>
      </w:pPr>
      <w:r>
        <w:t xml:space="preserve">4.3.3 Уклон поверхности твердых видов покрытия должен обеспечивать отвод поверхностных вод - на водоразделах при наличии системы дождевой канализации его следует назначать не менее 4‰, при отсутствии системы дождевой канализации - </w:t>
      </w:r>
      <w:r>
        <w:t>не менее 5‰. Максимальные уклоны назначаются в зависимости от условий движения транспорта и пешеходов.</w:t>
      </w:r>
    </w:p>
    <w:p w:rsidR="00000000" w:rsidRDefault="00F36ADD">
      <w:pPr>
        <w:ind w:firstLine="426"/>
        <w:jc w:val="both"/>
      </w:pPr>
      <w:r>
        <w:t>4.3.4 Тактильное покрытие должно начинаться на расстоянии не менее чем за 0,8 м до преграды, края улицы, начала опасного участка, изменения направления д</w:t>
      </w:r>
      <w:r>
        <w:t>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000000" w:rsidRDefault="00F36ADD">
      <w:pPr>
        <w:ind w:firstLine="426"/>
        <w:jc w:val="both"/>
      </w:pPr>
      <w:r>
        <w:t>4.3.5 Для деревьев, расположенных в мощении, при отсутствии иных видов защиты (пристволь</w:t>
      </w:r>
      <w:r>
        <w:t>ных решеток, бордюров, периметральных скамеек и пр.) рекомендуется предусматривать выполнение защитных видов покрытий в радиусе не менее 1,5 м от ствола: щебеночное, галечное, «соты» с засевом газона.</w:t>
      </w:r>
    </w:p>
    <w:p w:rsidR="00000000" w:rsidRDefault="00F36ADD">
      <w:pPr>
        <w:ind w:firstLine="426"/>
        <w:jc w:val="both"/>
      </w:pPr>
      <w:r>
        <w:t>Защитное покрытие может быть выполнено в одном уровне и</w:t>
      </w:r>
      <w:r>
        <w:t>ли выше покрытия пешеходных коммуникаций.</w:t>
      </w:r>
    </w:p>
    <w:p w:rsidR="00000000" w:rsidRDefault="00F36ADD">
      <w:pPr>
        <w:ind w:firstLine="426"/>
        <w:jc w:val="both"/>
      </w:pPr>
      <w:r>
        <w:rPr>
          <w:b/>
          <w:bCs/>
        </w:rPr>
        <w:t>4.4</w:t>
      </w:r>
      <w:r>
        <w:t xml:space="preserve"> </w:t>
      </w:r>
      <w:r>
        <w:rPr>
          <w:b/>
          <w:bCs/>
        </w:rPr>
        <w:t>Сопряжения поверхностей</w:t>
      </w:r>
    </w:p>
    <w:p w:rsidR="00000000" w:rsidRDefault="00F36ADD">
      <w:pPr>
        <w:jc w:val="both"/>
      </w:pPr>
      <w:r>
        <w:rPr>
          <w:rStyle w:val="s3"/>
        </w:rPr>
        <w:t xml:space="preserve">Пункт 4.4.1 изложен в редакции </w:t>
      </w:r>
      <w:hyperlink r:id="rId97" w:anchor="sub_id=110" w:history="1">
        <w:r>
          <w:rPr>
            <w:rStyle w:val="a4"/>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98" w:anchor="sub_id=4040100" w:history="1">
        <w:r>
          <w:rPr>
            <w:rStyle w:val="a4"/>
            <w:i/>
            <w:iCs/>
            <w:color w:val="0000FF"/>
            <w:u w:val="single"/>
          </w:rPr>
          <w:t>см. стар. ре</w:t>
        </w:r>
        <w:r>
          <w:rPr>
            <w:rStyle w:val="a4"/>
            <w:i/>
            <w:iCs/>
            <w:color w:val="0000FF"/>
            <w:u w:val="single"/>
          </w:rPr>
          <w:t>д.</w:t>
        </w:r>
      </w:hyperlink>
      <w:r>
        <w:rPr>
          <w:rStyle w:val="s3"/>
        </w:rPr>
        <w:t>)</w:t>
      </w:r>
    </w:p>
    <w:p w:rsidR="00000000" w:rsidRDefault="00F36ADD">
      <w:pPr>
        <w:ind w:firstLine="426"/>
        <w:jc w:val="both"/>
      </w:pPr>
      <w:r>
        <w:t xml:space="preserve">4.4.1 При проектировании элементов сопряжения поверхностей (различные виды бортовых камней, пандусы, ступени, лестницы) следует учитывать требования </w:t>
      </w:r>
      <w:hyperlink r:id="rId99" w:history="1">
        <w:r>
          <w:rPr>
            <w:rStyle w:val="a4"/>
            <w:color w:val="0000FF"/>
            <w:u w:val="single"/>
          </w:rPr>
          <w:t>СП РК 3.06-101</w:t>
        </w:r>
      </w:hyperlink>
      <w:r>
        <w:t xml:space="preserve">, </w:t>
      </w:r>
      <w:hyperlink r:id="rId100" w:history="1">
        <w:r>
          <w:rPr>
            <w:rStyle w:val="a4"/>
            <w:color w:val="0000FF"/>
            <w:u w:val="single"/>
          </w:rPr>
          <w:t>СН РК 3.02-07</w:t>
        </w:r>
      </w:hyperlink>
      <w:r>
        <w:t>.</w:t>
      </w:r>
    </w:p>
    <w:p w:rsidR="00000000" w:rsidRDefault="00F36ADD">
      <w:pPr>
        <w:ind w:firstLine="426"/>
        <w:jc w:val="both"/>
      </w:pPr>
      <w:r>
        <w:t>4.4.2 Бортовые камни на стыке тротуара и проезжей части должны иметь нормативное превышение над уровнем проезжей части не менее 150 мм, которое должно сохраняться и в случае реконструкции поверхност</w:t>
      </w:r>
      <w:r>
        <w:t>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w:t>
      </w:r>
      <w:r>
        <w:t>ых объектах обслуживания.</w:t>
      </w:r>
    </w:p>
    <w:p w:rsidR="00000000" w:rsidRDefault="00F36ADD">
      <w:pPr>
        <w:ind w:firstLine="426"/>
        <w:jc w:val="both"/>
      </w:pPr>
      <w:r>
        <w:t>4.4.3. При сопряжении покрытия пешеходных коммуникаций с газоном следует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w:t>
      </w:r>
      <w:r>
        <w:t>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000000" w:rsidRDefault="00F36ADD">
      <w:pPr>
        <w:ind w:firstLine="426"/>
        <w:jc w:val="both"/>
      </w:pPr>
      <w:r>
        <w:lastRenderedPageBreak/>
        <w:t>4.4.4 При</w:t>
      </w:r>
      <w:r>
        <w:t xml:space="preserve"> уклонах пешеходных коммуникаций более 60‰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w:t>
      </w:r>
      <w:r>
        <w:t>цы следует предусматривать при уклонах более 50‰,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w:t>
      </w:r>
      <w:r>
        <w:t>еспечения спуска с покрытия тротуара на уровень дорожного покрытия.</w:t>
      </w:r>
    </w:p>
    <w:p w:rsidR="00000000" w:rsidRDefault="00F36ADD">
      <w:pPr>
        <w:ind w:firstLine="426"/>
        <w:jc w:val="both"/>
      </w:pPr>
      <w:r>
        <w:t xml:space="preserve">4.4.5 При проектировании открытых лестниц на перепадах рельефа высоту ступеней рекомендуется назначать не более 120 мм, ширину - не менее 400 мм, ступени должны иметь уклон 10-20 промилле </w:t>
      </w:r>
      <w:r>
        <w:t>в сторону вышележащей ступени. После каждых 10-12 ступеней следует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w:t>
      </w:r>
      <w:r>
        <w:t>ах одного марша должны быть одинаковыми по ширине и высоте подъема ступеней. При проектировании лестниц в условиях реконструкции сложившихся территорий города высота ступеней может быть увеличена до 150 мм, а ширина ступеней и длина площадки - уменьшена до</w:t>
      </w:r>
      <w:r>
        <w:t xml:space="preserve"> 300 мм и 1,0 м соответственно.</w:t>
      </w:r>
    </w:p>
    <w:p w:rsidR="00000000" w:rsidRDefault="00F36ADD">
      <w:pPr>
        <w:ind w:firstLine="426"/>
        <w:jc w:val="both"/>
      </w:pPr>
      <w:r>
        <w:t>4.4.6 Пандус, как правило,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w:t>
      </w:r>
      <w:r>
        <w:t>отой не менее 75 мм и поручни. Зависимость уклона пандуса от высоты подъема следует принимать по таблице 7. Уклон бордюрного пандуса следует, как правило, принимать 1:12.</w:t>
      </w:r>
    </w:p>
    <w:p w:rsidR="00000000" w:rsidRDefault="00F36ADD">
      <w:pPr>
        <w:ind w:firstLine="426"/>
        <w:jc w:val="both"/>
      </w:pPr>
      <w:r>
        <w:rPr>
          <w:b/>
          <w:bCs/>
        </w:rPr>
        <w:t> </w:t>
      </w:r>
    </w:p>
    <w:p w:rsidR="00000000" w:rsidRDefault="00F36ADD">
      <w:pPr>
        <w:jc w:val="center"/>
      </w:pPr>
      <w:r>
        <w:rPr>
          <w:rStyle w:val="s1"/>
        </w:rPr>
        <w:t>Таблица 7 - Зависимость уклона пандуса от высоты подъема</w:t>
      </w:r>
    </w:p>
    <w:p w:rsidR="00000000" w:rsidRDefault="00F36ADD">
      <w:pPr>
        <w:ind w:firstLine="426"/>
        <w:jc w:val="center"/>
      </w:pPr>
      <w:r>
        <w:t> </w:t>
      </w:r>
    </w:p>
    <w:tbl>
      <w:tblPr>
        <w:tblW w:w="0" w:type="auto"/>
        <w:tblCellMar>
          <w:left w:w="0" w:type="dxa"/>
          <w:right w:w="0" w:type="dxa"/>
        </w:tblCellMar>
        <w:tblLook w:val="04A0" w:firstRow="1" w:lastRow="0" w:firstColumn="1" w:lastColumn="0" w:noHBand="0" w:noVBand="1"/>
      </w:tblPr>
      <w:tblGrid>
        <w:gridCol w:w="5251"/>
        <w:gridCol w:w="4051"/>
      </w:tblGrid>
      <w:tr w:rsidR="00000000">
        <w:trPr>
          <w:trHeight w:val="20"/>
        </w:trPr>
        <w:tc>
          <w:tcPr>
            <w:tcW w:w="525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Уклон пандуса (соотношен</w:t>
            </w:r>
            <w:r>
              <w:t>ие)</w:t>
            </w:r>
          </w:p>
        </w:tc>
        <w:tc>
          <w:tcPr>
            <w:tcW w:w="405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Высота подъема (в мм)</w:t>
            </w:r>
          </w:p>
        </w:tc>
      </w:tr>
      <w:tr w:rsidR="00000000">
        <w:trPr>
          <w:trHeight w:val="20"/>
        </w:trPr>
        <w:tc>
          <w:tcPr>
            <w:tcW w:w="525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От 1:8 до 1:10</w:t>
            </w:r>
          </w:p>
        </w:tc>
        <w:tc>
          <w:tcPr>
            <w:tcW w:w="40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75</w:t>
            </w:r>
          </w:p>
        </w:tc>
      </w:tr>
      <w:tr w:rsidR="00000000">
        <w:trPr>
          <w:trHeight w:val="20"/>
        </w:trPr>
        <w:tc>
          <w:tcPr>
            <w:tcW w:w="525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От 1:10,1 до 1:12</w:t>
            </w:r>
          </w:p>
        </w:tc>
        <w:tc>
          <w:tcPr>
            <w:tcW w:w="40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w:t>
            </w:r>
          </w:p>
        </w:tc>
      </w:tr>
      <w:tr w:rsidR="00000000">
        <w:trPr>
          <w:trHeight w:val="20"/>
        </w:trPr>
        <w:tc>
          <w:tcPr>
            <w:tcW w:w="525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От 1:12,1 до 1:15</w:t>
            </w:r>
          </w:p>
        </w:tc>
        <w:tc>
          <w:tcPr>
            <w:tcW w:w="40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600</w:t>
            </w:r>
          </w:p>
        </w:tc>
      </w:tr>
      <w:tr w:rsidR="00000000">
        <w:trPr>
          <w:trHeight w:val="20"/>
        </w:trPr>
        <w:tc>
          <w:tcPr>
            <w:tcW w:w="525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От 1:15,1 до 1:20</w:t>
            </w:r>
          </w:p>
        </w:tc>
        <w:tc>
          <w:tcPr>
            <w:tcW w:w="40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760</w:t>
            </w:r>
          </w:p>
        </w:tc>
      </w:tr>
    </w:tbl>
    <w:p w:rsidR="00000000" w:rsidRDefault="00F36ADD">
      <w:pPr>
        <w:ind w:firstLine="426"/>
      </w:pPr>
      <w:r>
        <w:t> </w:t>
      </w:r>
    </w:p>
    <w:p w:rsidR="00000000" w:rsidRDefault="00F36ADD">
      <w:pPr>
        <w:ind w:firstLine="426"/>
        <w:jc w:val="both"/>
      </w:pPr>
      <w:r>
        <w:t>4.4.7 При повороте пандуса или его протяженности более 9 м не реже чем через каждые 9 м следует предусматривать горизонтальные площадки размером 1,5 × 1,5 м. На горизонтальных площадках по окончании спуска следует проектировать дренажные устройства. Горизо</w:t>
      </w:r>
      <w:r>
        <w:t>нтальные участки пути в начале и конце пандуса должны отличаться от окружающих поверхностей текстурой и цветом.</w:t>
      </w:r>
    </w:p>
    <w:p w:rsidR="00000000" w:rsidRDefault="00F36ADD">
      <w:pPr>
        <w:ind w:firstLine="426"/>
        <w:jc w:val="both"/>
      </w:pPr>
      <w:r>
        <w:t xml:space="preserve">4.4.8 По обеим сторонам лестницы или пандуса следует предусматривать поручни на высоте 800-920 мм круглого или прямоугольного сечения, удобного </w:t>
      </w:r>
      <w:r>
        <w:t>для охвата рукой и отстоящего от стены на 40 мм. При ширине лестниц 2,5 ми более следует предусматривать разделительные поручни. Длина поручней должна быть больше длины пандуса или лестницы с каждой стороны не менее чем на 0,3 м. Концы поручней должны быть</w:t>
      </w:r>
      <w:r>
        <w:t xml:space="preserve"> округленными и гладкими. При проектировании следует предусматривать конструкции поручней, исключающие соприкосновение руки с металлом.</w:t>
      </w:r>
    </w:p>
    <w:p w:rsidR="00000000" w:rsidRDefault="00F36ADD">
      <w:pPr>
        <w:ind w:firstLine="426"/>
        <w:jc w:val="both"/>
      </w:pPr>
      <w:r>
        <w:t>4.4.9 В зонах сопряжения земляных (в том числе и с травяным покрытием) откосов с лестницами, пандусами, подпорными стенк</w:t>
      </w:r>
      <w:r>
        <w:t xml:space="preserve">ами, другими техническими инженерными сооружениями необходимо выполнять противоэрозионные мероприятия согласно пунктам </w:t>
      </w:r>
      <w:hyperlink r:id="rId101" w:anchor="sub_id=40105" w:history="1">
        <w:r>
          <w:rPr>
            <w:rStyle w:val="a4"/>
            <w:color w:val="0000FF"/>
            <w:u w:val="single"/>
          </w:rPr>
          <w:t>4.1.5-4.1.7</w:t>
        </w:r>
      </w:hyperlink>
      <w:r>
        <w:t>.</w:t>
      </w:r>
    </w:p>
    <w:p w:rsidR="00000000" w:rsidRDefault="00F36ADD">
      <w:pPr>
        <w:ind w:firstLine="426"/>
        <w:jc w:val="both"/>
      </w:pPr>
      <w:r>
        <w:rPr>
          <w:b/>
          <w:bCs/>
        </w:rPr>
        <w:t>4.5</w:t>
      </w:r>
      <w:r>
        <w:t xml:space="preserve"> </w:t>
      </w:r>
      <w:r>
        <w:rPr>
          <w:b/>
          <w:bCs/>
        </w:rPr>
        <w:t>Ограждения</w:t>
      </w:r>
    </w:p>
    <w:p w:rsidR="00000000" w:rsidRDefault="00F36ADD">
      <w:pPr>
        <w:ind w:firstLine="426"/>
        <w:jc w:val="both"/>
      </w:pPr>
      <w:r>
        <w:t>4.5.1 Проектирование ограж</w:t>
      </w:r>
      <w:r>
        <w:t>дений следует производить в зависимости от их местоположения и назначения согласно ГОСТ, каталогам сертифицированных изделий, проектам индивидуального проектирования.</w:t>
      </w:r>
    </w:p>
    <w:p w:rsidR="00000000" w:rsidRDefault="00F36ADD">
      <w:pPr>
        <w:ind w:firstLine="426"/>
        <w:jc w:val="both"/>
      </w:pPr>
      <w:r>
        <w:lastRenderedPageBreak/>
        <w:t>4.5.2 Ограждения магистралей и транспортных сооружений города следует проектировать согла</w:t>
      </w:r>
      <w:r>
        <w:t xml:space="preserve">сно </w:t>
      </w:r>
      <w:hyperlink r:id="rId102" w:history="1">
        <w:r>
          <w:rPr>
            <w:rStyle w:val="a4"/>
            <w:color w:val="0000FF"/>
            <w:u w:val="single"/>
          </w:rPr>
          <w:t>ГОСТ 26804</w:t>
        </w:r>
      </w:hyperlink>
      <w:r>
        <w:t xml:space="preserve">, </w:t>
      </w:r>
      <w:hyperlink r:id="rId103" w:history="1">
        <w:r>
          <w:rPr>
            <w:rStyle w:val="a4"/>
            <w:color w:val="0000FF"/>
            <w:u w:val="single"/>
          </w:rPr>
          <w:t>ГОСТ 23457</w:t>
        </w:r>
      </w:hyperlink>
      <w:r>
        <w:t xml:space="preserve">, верхних бровок откосов и террас - согласно </w:t>
      </w:r>
      <w:hyperlink r:id="rId104" w:anchor="sub_id=40109" w:history="1">
        <w:r>
          <w:rPr>
            <w:rStyle w:val="a4"/>
            <w:color w:val="0000FF"/>
            <w:u w:val="single"/>
          </w:rPr>
          <w:t>4.1.9</w:t>
        </w:r>
      </w:hyperlink>
      <w:r>
        <w:t>.</w:t>
      </w:r>
    </w:p>
    <w:p w:rsidR="00000000" w:rsidRDefault="00F36ADD">
      <w:pPr>
        <w:ind w:firstLine="426"/>
        <w:jc w:val="both"/>
      </w:pPr>
      <w:r>
        <w:t>4.5.3 На территории центрального ядра населенного пункта, городских многофункциональных центров, примагистральных общественных зон следует проектировать ограждения из кованого металла, чугунного литья или сварной стали, цо</w:t>
      </w:r>
      <w:r>
        <w:t>кольные части оград - из естественного камня или бетона с облицовочными материалами, преимущественно, по индивидуальным проектным разработкам.</w:t>
      </w:r>
    </w:p>
    <w:p w:rsidR="00000000" w:rsidRDefault="00F36ADD">
      <w:pPr>
        <w:ind w:firstLine="426"/>
        <w:jc w:val="both"/>
      </w:pPr>
      <w:r>
        <w:t>4.5.4. Ограждение территорий памятников историко-культурного наследия следует выполнять в соответствии с регламен</w:t>
      </w:r>
      <w:r>
        <w:t>тами, установленными для данных территорий.</w:t>
      </w:r>
    </w:p>
    <w:p w:rsidR="00000000" w:rsidRDefault="00F36ADD">
      <w:pPr>
        <w:ind w:firstLine="426"/>
        <w:jc w:val="both"/>
      </w:pPr>
      <w:r>
        <w:t>4.5.5 На территориях общественного, жилого, рекреационного назначения рекомендуется применение декоративных металлических ограждений.</w:t>
      </w:r>
    </w:p>
    <w:p w:rsidR="00000000" w:rsidRDefault="00F36ADD">
      <w:pPr>
        <w:ind w:firstLine="426"/>
        <w:jc w:val="both"/>
      </w:pPr>
      <w:r>
        <w:t>4.5.6 Следует предусматривать размещение защитных металлических ограждений выс</w:t>
      </w:r>
      <w:r>
        <w:t>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w:t>
      </w:r>
      <w:r>
        <w:t xml:space="preserve"> 0,2-0,3 м.</w:t>
      </w:r>
    </w:p>
    <w:p w:rsidR="00000000" w:rsidRDefault="00F36ADD">
      <w:pPr>
        <w:ind w:firstLine="426"/>
        <w:jc w:val="both"/>
      </w:pPr>
      <w:r>
        <w:t>4.5.7 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000000" w:rsidRDefault="00F36ADD">
      <w:pPr>
        <w:ind w:firstLine="426"/>
        <w:jc w:val="both"/>
      </w:pPr>
      <w:r>
        <w:t xml:space="preserve">4.5.8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w:t>
      </w:r>
      <w:r>
        <w:t>диаметром 0,8 м и более в зависимости от возраста, породы дерева и прочих характеристик.</w:t>
      </w:r>
    </w:p>
    <w:p w:rsidR="00000000" w:rsidRDefault="00F36ADD">
      <w:pPr>
        <w:ind w:firstLine="426"/>
        <w:jc w:val="both"/>
      </w:pPr>
      <w:r>
        <w:rPr>
          <w:b/>
          <w:bCs/>
        </w:rPr>
        <w:t>4.6 Малые архитектурные формы</w:t>
      </w:r>
    </w:p>
    <w:p w:rsidR="00000000" w:rsidRDefault="00F36ADD">
      <w:pPr>
        <w:ind w:firstLine="426"/>
        <w:jc w:val="both"/>
      </w:pPr>
      <w:r>
        <w:t>4.6.1. При проектировании и выборе малых архитектурных форм рекомендуется пользоваться каталогами сертифицированных изделий. Для зон исто</w:t>
      </w:r>
      <w:r>
        <w:t>рической застройки, центрального ядра населенного пункта, городских многофункциональных центров и зон малые архитектурные формы должны проектироваться на основании индивидуальных проектных разработок.</w:t>
      </w:r>
    </w:p>
    <w:p w:rsidR="00000000" w:rsidRDefault="00F36ADD">
      <w:pPr>
        <w:ind w:firstLine="426"/>
        <w:jc w:val="both"/>
      </w:pPr>
      <w:r>
        <w:t>4.6.2. К элементам монументально-декоративного оформлен</w:t>
      </w:r>
      <w:r>
        <w:t>ия города относятся: скульптурно-архитектурные композиции, монументально-декоративные композиции, монументы, памятные знаки и др. Произведения монументального и декоративного искусства следует размещать на территории города в соответствии с нормативными пр</w:t>
      </w:r>
      <w:r>
        <w:t>авовыми актами местных исполнительных органов.</w:t>
      </w:r>
    </w:p>
    <w:p w:rsidR="00000000" w:rsidRDefault="00F36ADD">
      <w:pPr>
        <w:ind w:firstLine="426"/>
        <w:jc w:val="both"/>
      </w:pPr>
      <w:r>
        <w:t>4.6.3. Для оформления мобильного и вертикального озеленения применяются следующие виды устройств: трельяжи, шпалеры, пер голы, цветочницы, вазоны. Трельяж и шпалера - легкие деревянные или металлические констр</w:t>
      </w:r>
      <w:r>
        <w:t>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Пергола - легкое решетчатое сооружение из дер</w:t>
      </w:r>
      <w:r>
        <w:t>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000000" w:rsidRDefault="00F36ADD">
      <w:pPr>
        <w:ind w:firstLine="426"/>
        <w:jc w:val="both"/>
      </w:pPr>
      <w:r>
        <w:t xml:space="preserve">4.6.4. </w:t>
      </w:r>
      <w:r>
        <w:t>Водные устройства (фонтаны, питьевые фонтанчики, родники, декоративные водоемы) снабжаются водосливными трубами, отводящими избыток воды в дренажную сеть и ливневую канализацию.</w:t>
      </w:r>
    </w:p>
    <w:p w:rsidR="00000000" w:rsidRDefault="00F36ADD">
      <w:pPr>
        <w:ind w:firstLine="426"/>
        <w:jc w:val="both"/>
      </w:pPr>
      <w:r>
        <w:t xml:space="preserve">4.6.5 Питьевые фонтанчики могут быть типовыми либо выполненными по специально </w:t>
      </w:r>
      <w:r>
        <w:t xml:space="preserve">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должны быть оборудованы твердым видом покрытия, высота должна составлять не более 90 см для </w:t>
      </w:r>
      <w:r>
        <w:lastRenderedPageBreak/>
        <w:t>взрослы</w:t>
      </w:r>
      <w:r>
        <w:t>х и не более 70 см для детей. Не менее одной чаши питьевых фонтанчиков в зонах отдыха должно быть доступно для инвалидов.</w:t>
      </w:r>
    </w:p>
    <w:p w:rsidR="00000000" w:rsidRDefault="00F36ADD">
      <w:pPr>
        <w:ind w:firstLine="426"/>
        <w:jc w:val="both"/>
      </w:pPr>
      <w:r>
        <w:t xml:space="preserve">4.6.6 Декоративные водоемы сооружаются с использованием рельефа или на ровной поверхности в сочетании с газоном, плиточным покрытием, </w:t>
      </w:r>
      <w:r>
        <w:t>цветниками, древесно-кустарниковыми посадками. Дно водоема необходимо делать гладким, удобным для очистки. Рекомендуется использование приемов цветового и светового оформления.</w:t>
      </w:r>
    </w:p>
    <w:p w:rsidR="00000000" w:rsidRDefault="00F36ADD">
      <w:pPr>
        <w:ind w:firstLine="426"/>
        <w:jc w:val="both"/>
      </w:pPr>
      <w:r>
        <w:t>4.6.7 Городская мебель в виде скамей отдыха, размещаются на территории обществе</w:t>
      </w:r>
      <w:r>
        <w:t>нных пространств, рекреаций и дворов; в виде скамей и столов - на площадках для настольных игр, летних кафе и др.</w:t>
      </w:r>
    </w:p>
    <w:p w:rsidR="00000000" w:rsidRDefault="00F36ADD">
      <w:pPr>
        <w:ind w:firstLine="426"/>
        <w:jc w:val="both"/>
      </w:pPr>
      <w:r>
        <w:t>4.6.8 Установка скамей предусматривается, как правило, на твердые виды покрытия или фундамент. В зонах отдыха, лесопарках, детских площадках д</w:t>
      </w:r>
      <w:r>
        <w:t>опускается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420-480 мм.</w:t>
      </w:r>
      <w:r>
        <w:t xml:space="preserve"> Поверхности скамьи для отдыха рекомендуется выполнять из дерева с различными видами водоустойчивой обработки (предпочтительно - пропиткой).</w:t>
      </w:r>
    </w:p>
    <w:p w:rsidR="00000000" w:rsidRDefault="00F36ADD">
      <w:pPr>
        <w:ind w:firstLine="426"/>
        <w:jc w:val="both"/>
      </w:pPr>
      <w:r>
        <w:t xml:space="preserve">4.6.9 На территории особо охраняемых природных территорий допускается выполнять скамьи и столы из древесных пней - </w:t>
      </w:r>
      <w:r>
        <w:t>срубов, бревен и плах, не имеющих сколов и острых углов.</w:t>
      </w:r>
    </w:p>
    <w:p w:rsidR="00000000" w:rsidRDefault="00F36ADD">
      <w:pPr>
        <w:ind w:firstLine="426"/>
        <w:jc w:val="both"/>
      </w:pPr>
      <w:r>
        <w:t>4.6.10 Количество размещаемой городской мебели зависит от функционального назначения территории и количества посетителей на этой территории.</w:t>
      </w:r>
    </w:p>
    <w:p w:rsidR="00000000" w:rsidRDefault="00F36ADD">
      <w:pPr>
        <w:ind w:firstLine="426"/>
        <w:jc w:val="both"/>
      </w:pPr>
      <w:r>
        <w:t>4.6.11 Уличное коммунально-бытовое оборудование представле</w:t>
      </w:r>
      <w:r>
        <w:t>но различными видами мусоросборников - контейнеров и урн.</w:t>
      </w:r>
    </w:p>
    <w:p w:rsidR="00000000" w:rsidRDefault="00F36ADD">
      <w:pPr>
        <w:ind w:firstLine="426"/>
        <w:jc w:val="both"/>
      </w:pPr>
      <w:r>
        <w:t>4.6.12 В местах общественного пользования устанавливаются урны. Расстояние между урнами предусматривается не более чем 40 метров на оживленных улицах и 100 метров на малолюдных. В местах остановки о</w:t>
      </w:r>
      <w:r>
        <w:t>бщественного транспорта установка урн обязательна. В парках урны устанавливаются из расчета не менее одной урны на 800 м площади. Расстояние между урнами на главных аллеях предусматривается 40 метров. Урны устанавливаются у ларьков, киосков и выносных стол</w:t>
      </w:r>
      <w:r>
        <w:t>иков. На территории пляжа устанавливаются урны и допускается устройство фонтанчиков с подводом питьевой воды на расстоянии друг от друга не более 200 м. (</w:t>
      </w:r>
      <w:hyperlink r:id="rId105" w:history="1">
        <w:r>
          <w:rPr>
            <w:rStyle w:val="a4"/>
            <w:color w:val="0000FF"/>
            <w:u w:val="single"/>
          </w:rPr>
          <w:t>Санитарные правила</w:t>
        </w:r>
      </w:hyperlink>
      <w:r>
        <w:t xml:space="preserve"> «Санитарно-эпидеми</w:t>
      </w:r>
      <w:r>
        <w:t xml:space="preserve">ологические требования к атмосферному воздуху в городских и сельских населенных пунктах, почвам и их безопасности, содержанию территорий городских и сельских населенных пунктов, условиям работы с источниками физических факторов, оказывающих воздействие на </w:t>
      </w:r>
      <w:r>
        <w:t>человека»).</w:t>
      </w:r>
    </w:p>
    <w:p w:rsidR="00000000" w:rsidRDefault="00F36ADD">
      <w:pPr>
        <w:ind w:firstLine="426"/>
        <w:jc w:val="both"/>
      </w:pPr>
      <w:r>
        <w:t>4.6.13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центрального ядра - не более 60 м, других территорий населенного п</w:t>
      </w:r>
      <w:r>
        <w:t>ункта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
    <w:p w:rsidR="00000000" w:rsidRDefault="00F36ADD">
      <w:pPr>
        <w:ind w:firstLine="426"/>
        <w:jc w:val="both"/>
      </w:pPr>
      <w:r>
        <w:t>4.6.1</w:t>
      </w:r>
      <w:r>
        <w:t>4. Для сбора твердых бытовых отходов (ТБО) на территории крупных городов рекомендуется применять передвижные крупногабаритные контейнеры вместимостью 0,7 и 1,1 куб. м, оборудованные скользящей крышкой с полувращением, размещая их на специально оборудованны</w:t>
      </w:r>
      <w:r>
        <w:t>х площадках.</w:t>
      </w:r>
    </w:p>
    <w:p w:rsidR="00000000" w:rsidRDefault="00F36ADD">
      <w:pPr>
        <w:ind w:firstLine="426"/>
        <w:jc w:val="both"/>
      </w:pPr>
      <w:r>
        <w:t>4.6.15 При установке таксофонов на территориях общественного, жилого, рекреационного назначения следует предусматривать их электроосвещение. Места размещения таксофонов следует проектировать в максимальном приближении от мест присоединения зак</w:t>
      </w:r>
      <w:r>
        <w:t xml:space="preserve">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w:t>
      </w:r>
      <w:r>
        <w:lastRenderedPageBreak/>
        <w:t xml:space="preserve">монетоприемника от покрытия </w:t>
      </w:r>
      <w:r>
        <w:t>составлял 1,3 м; уровень приемного отверстия почтового ящика рекомендуется располагать от уровня покрытия на высоте 1,3 м.</w:t>
      </w:r>
    </w:p>
    <w:p w:rsidR="00000000" w:rsidRDefault="00F36ADD">
      <w:pPr>
        <w:ind w:firstLine="426"/>
        <w:jc w:val="both"/>
      </w:pPr>
      <w:r>
        <w:t>4.6.16 Крышки люков смотровых колодцев, расположенных на территории пешеходных коммуникаций (в т.ч. уличных переходов), следует проек</w:t>
      </w:r>
      <w:r>
        <w:t>тировать, как правило, в одном уровне с покрытием прилегающей поверхности, в случае перепада отметок он не должен превышать 20 мм, а зазоры между краем люка и покрытием тротуара должны быть не более 15 мм;</w:t>
      </w:r>
    </w:p>
    <w:p w:rsidR="00000000" w:rsidRDefault="00F36ADD">
      <w:pPr>
        <w:ind w:firstLine="426"/>
        <w:jc w:val="both"/>
      </w:pPr>
      <w:r>
        <w:t>- вентиляционные шахты должны быть оборудованы реш</w:t>
      </w:r>
      <w:r>
        <w:t>етками.</w:t>
      </w:r>
    </w:p>
    <w:p w:rsidR="00000000" w:rsidRDefault="00F36ADD">
      <w:pPr>
        <w:ind w:firstLine="426"/>
        <w:jc w:val="both"/>
      </w:pPr>
      <w:r>
        <w:rPr>
          <w:b/>
          <w:bCs/>
        </w:rPr>
        <w:t>4.7 Игровое и спортивное оборудование</w:t>
      </w:r>
    </w:p>
    <w:p w:rsidR="00000000" w:rsidRDefault="00F36ADD">
      <w:pPr>
        <w:ind w:firstLine="426"/>
        <w:jc w:val="both"/>
      </w:pPr>
      <w:r>
        <w:t>4.7.1. При выборе состава и размещении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w:t>
      </w:r>
      <w:r>
        <w:t>п (</w:t>
      </w:r>
      <w:hyperlink r:id="rId106" w:anchor="sub_id=3" w:history="1">
        <w:r>
          <w:rPr>
            <w:rStyle w:val="a4"/>
            <w:color w:val="0000FF"/>
            <w:u w:val="single"/>
          </w:rPr>
          <w:t>приложение В</w:t>
        </w:r>
      </w:hyperlink>
      <w:r>
        <w:t>, таблица В.1).</w:t>
      </w:r>
    </w:p>
    <w:p w:rsidR="00000000" w:rsidRDefault="00F36ADD">
      <w:pPr>
        <w:ind w:firstLine="426"/>
        <w:jc w:val="both"/>
      </w:pPr>
      <w:r>
        <w:t>4.7.2. Рекомендуется применение модульного оборудования, обеспечивающего вариантность сочетаний элементов.</w:t>
      </w:r>
    </w:p>
    <w:p w:rsidR="00000000" w:rsidRDefault="00F36ADD">
      <w:pPr>
        <w:ind w:firstLine="426"/>
        <w:jc w:val="both"/>
      </w:pPr>
      <w:r>
        <w:t>4.7.3. Рекомендуется предусматривать следующие требования к материалу игрового оборудования и условиям его обработки:</w:t>
      </w:r>
    </w:p>
    <w:p w:rsidR="00000000" w:rsidRDefault="00F36ADD">
      <w:pPr>
        <w:ind w:firstLine="426"/>
        <w:jc w:val="both"/>
      </w:pPr>
      <w:r>
        <w:t>- деревянное оборудование должно быть выполнено из твердых пород деревьев со специальной обработкой, имеющей экологический сертификат каче</w:t>
      </w:r>
      <w:r>
        <w:t>ства и предотвращающей гниение, усыхание, возгорание, сколы; должно быть отполировано, острые углы закруглены;</w:t>
      </w:r>
    </w:p>
    <w:p w:rsidR="00000000" w:rsidRDefault="00F36ADD">
      <w:pPr>
        <w:ind w:firstLine="426"/>
        <w:jc w:val="both"/>
      </w:pPr>
      <w:r>
        <w:t>- металл должен применяться преимущественно для несущих конструкций оборудования, иметь надежные соединения и соответствующую обработку (влагосто</w:t>
      </w:r>
      <w:r>
        <w:t>йкая покраска, антикоррозийное покрытие); рекомендуется применять металлопластик (не травмирует, не ржавеет, морозоустойчив);</w:t>
      </w:r>
    </w:p>
    <w:p w:rsidR="00000000" w:rsidRDefault="00F36ADD">
      <w:pPr>
        <w:ind w:firstLine="426"/>
        <w:jc w:val="both"/>
      </w:pPr>
      <w:r>
        <w:t>- бетонные и железобетонные элементы оборудования должны быть выполнены из бетона марки не ниже 300, морозостойкостью не менее 150</w:t>
      </w:r>
      <w:r>
        <w:t>, иметь гладкие поверхности;</w:t>
      </w:r>
    </w:p>
    <w:p w:rsidR="00000000" w:rsidRDefault="00F36ADD">
      <w:pPr>
        <w:ind w:firstLine="426"/>
        <w:jc w:val="both"/>
      </w:pPr>
      <w: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000000" w:rsidRDefault="00F36ADD">
      <w:pPr>
        <w:ind w:firstLine="426"/>
        <w:jc w:val="both"/>
      </w:pPr>
      <w:r>
        <w:t>4.7.4. Для оказания экстренной помощи детям в комплексы игров</w:t>
      </w:r>
      <w:r>
        <w:t>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000000" w:rsidRDefault="00F36ADD">
      <w:pPr>
        <w:ind w:firstLine="426"/>
        <w:jc w:val="both"/>
      </w:pPr>
      <w:r>
        <w:t>4.7.5.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8.</w:t>
      </w:r>
    </w:p>
    <w:p w:rsidR="00000000" w:rsidRDefault="00F36ADD">
      <w:pPr>
        <w:ind w:firstLine="426"/>
        <w:jc w:val="both"/>
      </w:pPr>
      <w:r>
        <w:t>4.7.6 Требования к параметрам игрового оборудования и его отдельных частей рекомендуется принимат</w:t>
      </w:r>
      <w:r>
        <w:t xml:space="preserve">ь согласно таблице В.2 </w:t>
      </w:r>
      <w:hyperlink r:id="rId107" w:anchor="sub_id=3" w:history="1">
        <w:r>
          <w:rPr>
            <w:rStyle w:val="a4"/>
            <w:color w:val="0000FF"/>
            <w:u w:val="single"/>
          </w:rPr>
          <w:t>приложения В</w:t>
        </w:r>
      </w:hyperlink>
      <w:r>
        <w:t>.</w:t>
      </w:r>
    </w:p>
    <w:p w:rsidR="00000000" w:rsidRDefault="00F36ADD">
      <w:pPr>
        <w:ind w:firstLine="426"/>
        <w:jc w:val="both"/>
      </w:pPr>
      <w:r>
        <w:rPr>
          <w:b/>
          <w:bCs/>
        </w:rPr>
        <w:t> </w:t>
      </w:r>
    </w:p>
    <w:p w:rsidR="00000000" w:rsidRDefault="00F36ADD">
      <w:pPr>
        <w:jc w:val="center"/>
      </w:pPr>
      <w:r>
        <w:rPr>
          <w:rStyle w:val="s1"/>
        </w:rPr>
        <w:t>Таблица 8 - Минимальные расстояния безопасности при размещении игрового оборудования</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1828"/>
        <w:gridCol w:w="7507"/>
      </w:tblGrid>
      <w:tr w:rsidR="00000000">
        <w:trPr>
          <w:trHeight w:val="20"/>
        </w:trPr>
        <w:tc>
          <w:tcPr>
            <w:tcW w:w="9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Игровое оборудование</w:t>
            </w:r>
          </w:p>
        </w:tc>
        <w:tc>
          <w:tcPr>
            <w:tcW w:w="40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Минимальные расстояния</w:t>
            </w:r>
          </w:p>
        </w:tc>
      </w:tr>
      <w:tr w:rsidR="00000000">
        <w:trPr>
          <w:trHeight w:val="20"/>
        </w:trPr>
        <w:tc>
          <w:tcPr>
            <w:tcW w:w="9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Качели</w:t>
            </w:r>
          </w:p>
        </w:tc>
        <w:tc>
          <w:tcPr>
            <w:tcW w:w="40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Не менее 1,5 м в стороны от боковых конструкций качелей и не менее 2,0 м от крайних точек качелей состоянии наклона</w:t>
            </w:r>
          </w:p>
        </w:tc>
      </w:tr>
      <w:tr w:rsidR="00000000">
        <w:trPr>
          <w:trHeight w:val="20"/>
        </w:trPr>
        <w:tc>
          <w:tcPr>
            <w:tcW w:w="9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Качалки</w:t>
            </w:r>
          </w:p>
        </w:tc>
        <w:tc>
          <w:tcPr>
            <w:tcW w:w="40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Не менее 1,0 м в стороны от боковых конструкций качалки и не менее 1,5 м от крайней точки качалки состоянии наклона</w:t>
            </w:r>
          </w:p>
        </w:tc>
      </w:tr>
      <w:tr w:rsidR="00000000">
        <w:trPr>
          <w:trHeight w:val="20"/>
        </w:trPr>
        <w:tc>
          <w:tcPr>
            <w:tcW w:w="9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Карусели</w:t>
            </w:r>
          </w:p>
        </w:tc>
        <w:tc>
          <w:tcPr>
            <w:tcW w:w="40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Не м</w:t>
            </w:r>
            <w:r>
              <w:t>енее 2 м в стороны и не менее 3 м вверх от нижней вращающейся поверхности карусели</w:t>
            </w:r>
          </w:p>
        </w:tc>
      </w:tr>
      <w:tr w:rsidR="00000000">
        <w:trPr>
          <w:trHeight w:val="20"/>
        </w:trPr>
        <w:tc>
          <w:tcPr>
            <w:tcW w:w="9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Горки</w:t>
            </w:r>
          </w:p>
        </w:tc>
        <w:tc>
          <w:tcPr>
            <w:tcW w:w="40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Не менее 1 м с обеих сторон горки и 2 м от края ската горки</w:t>
            </w:r>
          </w:p>
        </w:tc>
      </w:tr>
    </w:tbl>
    <w:p w:rsidR="00000000" w:rsidRDefault="00F36ADD">
      <w:pPr>
        <w:ind w:firstLine="426"/>
      </w:pPr>
      <w:r>
        <w:t> </w:t>
      </w:r>
    </w:p>
    <w:p w:rsidR="00000000" w:rsidRDefault="00F36ADD">
      <w:pPr>
        <w:ind w:firstLine="426"/>
        <w:jc w:val="both"/>
      </w:pPr>
      <w:r>
        <w:lastRenderedPageBreak/>
        <w:t>4.7.7.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w:t>
      </w:r>
      <w:r>
        <w:t>лов и т.п.). При размещении следует руководствоваться каталогами сертифицированного оборудования.</w:t>
      </w:r>
    </w:p>
    <w:p w:rsidR="00000000" w:rsidRDefault="00F36ADD">
      <w:pPr>
        <w:ind w:firstLine="426"/>
        <w:jc w:val="both"/>
      </w:pPr>
      <w:r>
        <w:rPr>
          <w:b/>
          <w:bCs/>
        </w:rPr>
        <w:t>4.8</w:t>
      </w:r>
      <w:r>
        <w:t xml:space="preserve"> </w:t>
      </w:r>
      <w:r>
        <w:rPr>
          <w:b/>
          <w:bCs/>
        </w:rPr>
        <w:t>Освещение и осветительное оборудование</w:t>
      </w:r>
    </w:p>
    <w:p w:rsidR="00000000" w:rsidRDefault="00F36ADD">
      <w:pPr>
        <w:ind w:firstLine="426"/>
        <w:jc w:val="both"/>
      </w:pPr>
      <w:r>
        <w:t>4.8.1 Проектирование групп освещения - функционального освещения (ФО), архитектурного освещения (ФО) и информационн</w:t>
      </w:r>
      <w:r>
        <w:t xml:space="preserve">ого (световой информации - СИ) улиц, дорог, площадей, парков, зеленых зон, территорий микрорайонов, детских яслей - садов, школ и школ - интернатов, больниц, госпиталей, санаториев, пансионатов, домов отдыха, парков, садов, стадионов и выставок, наружного </w:t>
      </w:r>
      <w:r>
        <w:t>архитектурного освещения и рекламы как правило выполняется в составе проектов благоустройства с учетом характеристик светоотражения дорожных покрытий, решений по озеленению.</w:t>
      </w:r>
    </w:p>
    <w:p w:rsidR="00000000" w:rsidRDefault="00F36ADD">
      <w:pPr>
        <w:ind w:firstLine="426"/>
        <w:jc w:val="both"/>
      </w:pPr>
      <w:r>
        <w:t xml:space="preserve">4.8.2 На территории населенных пунктов, в том числе в различных градостроительных </w:t>
      </w:r>
      <w:r>
        <w:t>условиях следует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светоцветового зонирования территорий города и формирования системы светопространс</w:t>
      </w:r>
      <w:r>
        <w:t>твенных ансамблей.</w:t>
      </w:r>
    </w:p>
    <w:p w:rsidR="00000000" w:rsidRDefault="00F36ADD">
      <w:pPr>
        <w:ind w:firstLine="426"/>
        <w:jc w:val="both"/>
      </w:pPr>
      <w:r>
        <w:t>4.8.3. Функциональное освещение (ФО) подразделяются на обычные, высокомачтовые, парапетные, газонные и встроенные.</w:t>
      </w:r>
    </w:p>
    <w:p w:rsidR="00000000" w:rsidRDefault="00F36ADD">
      <w:pPr>
        <w:ind w:firstLine="426"/>
        <w:jc w:val="both"/>
      </w:pPr>
      <w:r>
        <w:t>4.8.4 В обычных установках светильники следует располагать на опорах (венчающие, консольные), подвесах или фасадах (бра, п</w:t>
      </w:r>
      <w:r>
        <w:t>лафоны) на высоте от 3 до 15 м. Их следует применять в транспортных и пешеходных зонах как наиболее традиционные.</w:t>
      </w:r>
    </w:p>
    <w:p w:rsidR="00000000" w:rsidRDefault="00F36ADD">
      <w:pPr>
        <w:ind w:firstLine="426"/>
        <w:jc w:val="both"/>
      </w:pPr>
      <w:r>
        <w:t xml:space="preserve">4.8.5 В высокомачтовых установках осветительные приборы (прожекторы или светильники) располагаются на опорах на высоте 20 и более метров. Эти </w:t>
      </w:r>
      <w:r>
        <w:t>установки рекомендуется использовать для освещения обширных пространств, транспортных развязок и магистралей, открытых паркингов.</w:t>
      </w:r>
    </w:p>
    <w:p w:rsidR="00000000" w:rsidRDefault="00F36ADD">
      <w:pPr>
        <w:ind w:firstLine="426"/>
        <w:jc w:val="both"/>
      </w:pPr>
      <w:r>
        <w:t>4.8.6 В парапетных установках светильники встраиваются линией или пунктиром в парапет высотой до 1,2 метра, ограждающий проезж</w:t>
      </w:r>
      <w:r>
        <w:t>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000000" w:rsidRDefault="00F36ADD">
      <w:pPr>
        <w:ind w:firstLine="426"/>
        <w:jc w:val="both"/>
      </w:pPr>
      <w:r>
        <w:t>4.8.7 Газонные светильники служат для освещения газонов, цветников, пеш</w:t>
      </w:r>
      <w:r>
        <w:t>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000000" w:rsidRDefault="00F36ADD">
      <w:pPr>
        <w:ind w:firstLine="426"/>
        <w:jc w:val="both"/>
      </w:pPr>
      <w:r>
        <w:t>4.8.8 Светильники, встроенные в ступени, подпорные стенки, ограждения, цоколи зданий и сооружений, МАФ, сл</w:t>
      </w:r>
      <w:r>
        <w:t>едует использовать для освещения пешеходных зон территорий общественного назначения.</w:t>
      </w:r>
    </w:p>
    <w:p w:rsidR="00000000" w:rsidRDefault="00F36ADD">
      <w:pPr>
        <w:ind w:firstLine="426"/>
        <w:jc w:val="both"/>
      </w:pPr>
      <w:r>
        <w:t>4.8.9 Архитектурное освещение осуществляется стационарными или временными установками освещения объектов, главным образом, наружного освещения их фасадных поверхностей.</w:t>
      </w:r>
    </w:p>
    <w:p w:rsidR="00000000" w:rsidRDefault="00F36ADD">
      <w:pPr>
        <w:ind w:firstLine="426"/>
        <w:jc w:val="both"/>
      </w:pPr>
      <w:r>
        <w:t>4.</w:t>
      </w:r>
      <w:r>
        <w:t>8.10 К временным установкам архитектурного освещения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w:t>
      </w:r>
      <w:r>
        <w:t>ые проекции, лазерные рисунки и т.п.</w:t>
      </w:r>
    </w:p>
    <w:p w:rsidR="00000000" w:rsidRDefault="00F36ADD">
      <w:pPr>
        <w:ind w:firstLine="426"/>
        <w:jc w:val="both"/>
      </w:pPr>
      <w:r>
        <w:t>4.8.11В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w:t>
      </w:r>
      <w:r>
        <w:t>ементы которых могут крепиться на опорах уличных светильников.</w:t>
      </w:r>
    </w:p>
    <w:p w:rsidR="00000000" w:rsidRDefault="00F36ADD">
      <w:pPr>
        <w:ind w:firstLine="426"/>
        <w:jc w:val="both"/>
      </w:pPr>
      <w:r>
        <w:t xml:space="preserve">4.8.12 Размещение, габариты, формы и светоцветовые параметры элементов световой информации должны быть отчетливо воспринимаемы с расчетных расстояний и гармонично вписаны в конкретный световой </w:t>
      </w:r>
      <w:r>
        <w:t>ансамбль, не противоречить действующим правилам дорожного движения, не нарушать комфортность проживания населения.</w:t>
      </w:r>
    </w:p>
    <w:p w:rsidR="00000000" w:rsidRDefault="00F36ADD">
      <w:pPr>
        <w:ind w:firstLine="426"/>
        <w:jc w:val="both"/>
      </w:pPr>
      <w:r>
        <w:lastRenderedPageBreak/>
        <w:t>4.8.13 Источники света в установках ФО, как правило, следует выбирать с учетом требований светоцветового зонирования, улучшения ориентации, ф</w:t>
      </w:r>
      <w:r>
        <w:t>ормирования благоприятных зрительных условий:</w:t>
      </w:r>
    </w:p>
    <w:p w:rsidR="00000000" w:rsidRDefault="00F36ADD">
      <w:pPr>
        <w:ind w:firstLine="426"/>
        <w:jc w:val="both"/>
      </w:pPr>
      <w:r>
        <w:t>- в транспортных зонах следует использовать, как правило, стандартные натриевые лампы высокого давления (НЛВД);</w:t>
      </w:r>
    </w:p>
    <w:p w:rsidR="00000000" w:rsidRDefault="00F36ADD">
      <w:pPr>
        <w:ind w:firstLine="426"/>
        <w:jc w:val="both"/>
      </w:pPr>
      <w:r>
        <w:t>- в общественно - пешеходных и рекреационных зонах, в т.ч. в пешеходных тоннелях, - разрядные ламп</w:t>
      </w:r>
      <w:r>
        <w:t>ы белого света с хорошей цветопередачей Ra = 80, Тц = 3200-5000 К (люминесцентные ЛЛ и компактные люминесцентные КЛЛ, дуговые ртутно-люминесцентные ДРЛ, металлогалогенные МГЛ, индукционные типа QL и т.п.);</w:t>
      </w:r>
    </w:p>
    <w:p w:rsidR="00000000" w:rsidRDefault="00F36ADD">
      <w:pPr>
        <w:ind w:firstLine="426"/>
        <w:jc w:val="both"/>
      </w:pPr>
      <w:r>
        <w:t>- в жилых дворах в исторической части города - лам</w:t>
      </w:r>
      <w:r>
        <w:t>пы тепло-белого света, Ra = 70, Тц = 3000-3500 К (КЛЛ, ДРЛ «комфорт», НЛВД «white»);</w:t>
      </w:r>
    </w:p>
    <w:p w:rsidR="00000000" w:rsidRDefault="00F36ADD">
      <w:pPr>
        <w:ind w:firstLine="426"/>
        <w:jc w:val="both"/>
      </w:pPr>
      <w:r>
        <w:t>- в парапетных, газонных и встроенных установках допустимо применение ламп белого и цветного света (КЛЛ, ЛЛ).</w:t>
      </w:r>
    </w:p>
    <w:p w:rsidR="00000000" w:rsidRDefault="00F36ADD">
      <w:pPr>
        <w:ind w:firstLine="426"/>
        <w:jc w:val="both"/>
      </w:pPr>
      <w:r>
        <w:t>4.8.14 В установках АО и СИ должны использоваться преимуществ</w:t>
      </w:r>
      <w:r>
        <w:t>енно разрядные источники белого или цветного света.</w:t>
      </w:r>
    </w:p>
    <w:p w:rsidR="00000000" w:rsidRDefault="00F36ADD">
      <w:pPr>
        <w:ind w:firstLine="426"/>
        <w:jc w:val="both"/>
      </w:pPr>
      <w:r>
        <w:t>4.8.15 В установках ФО транспортных и пешеходных зон следует применять, как правило,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w:t>
      </w:r>
      <w:r>
        <w:t xml:space="preserve">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w:t>
      </w:r>
      <w:r>
        <w:t>адов зданий, сооружений, склонов рельефа.</w:t>
      </w:r>
    </w:p>
    <w:p w:rsidR="00000000" w:rsidRDefault="00F36ADD">
      <w:pPr>
        <w:ind w:firstLine="426"/>
        <w:jc w:val="both"/>
      </w:pPr>
      <w:r>
        <w:t>4.8.16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разноспект</w:t>
      </w:r>
      <w:r>
        <w:t>ральными источниками света - НЛВД над проезжей частью и ДРЛ (или МГЛ) над пешеходной частью с целью светоцветового зонирования пространства.</w:t>
      </w:r>
    </w:p>
    <w:p w:rsidR="00000000" w:rsidRDefault="00F36ADD">
      <w:pPr>
        <w:ind w:firstLine="426"/>
        <w:jc w:val="both"/>
      </w:pPr>
      <w:r>
        <w:t>4.8.17 Выбор типа, расположения и способа установки светильников ФО транспортных и пешеходных зон следует осуществл</w:t>
      </w:r>
      <w:r>
        <w:t>ять с учетом формируемого масштаба светопространств. Над проезжей частью улиц, дорог и площадей светильники на опорах должны устанавливаться на высоте не менее 8 м. В пешеходных зонах высота установки светильников на опорах должна приниматься, как правило,</w:t>
      </w:r>
      <w:r>
        <w:t xml:space="preserve"> не менее 3,5 м и не более 5,5 м. Светильники (бра, плафоны) для освещения проездов, тротуаров и площадок, расположенных у зданий, следует устанавливать на высоте не менее 3 м.</w:t>
      </w:r>
    </w:p>
    <w:p w:rsidR="00000000" w:rsidRDefault="00F36ADD">
      <w:pPr>
        <w:ind w:firstLine="426"/>
        <w:jc w:val="both"/>
      </w:pPr>
      <w:r>
        <w:t>4.8.18 Опоры уличных светильников для освещения проезжей части магистральных ул</w:t>
      </w:r>
      <w:r>
        <w:t xml:space="preserve">иц (общегородских и районных) располагаются, как правило,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w:t>
      </w:r>
      <w:r>
        <w:t>троллейбусного движения, а также регулярного движения грузовых машин. Опора, как правило, не должна находиться между пожарным гидрантом и проезжей частью улиц и дорог. В условиях исторической застройки допускается установка опор рядом с бортовым камнем.</w:t>
      </w:r>
    </w:p>
    <w:p w:rsidR="00000000" w:rsidRDefault="00F36ADD">
      <w:pPr>
        <w:ind w:firstLine="426"/>
        <w:jc w:val="both"/>
      </w:pPr>
      <w:r>
        <w:t>4.</w:t>
      </w:r>
      <w:r>
        <w:t>8.19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 Минимальные расстояния между опорой с любым освети</w:t>
      </w:r>
      <w:r>
        <w:t>тельным прибором и корневыми шейками деревьев, а также опорой и подземными коммуникациями следует принимать согласно ПУЭ. Светильники, размещаемые на улицах и проездах с рядовой посадкой деревьев, следует устанавливать вне крон деревьев на удлиненных кронш</w:t>
      </w:r>
      <w:r>
        <w:t>тейнах, обращенных в сторону проезжей части улицы, или применять тросовый подвес приборов над транспортной зоной.</w:t>
      </w:r>
    </w:p>
    <w:p w:rsidR="00000000" w:rsidRDefault="00F36ADD">
      <w:pPr>
        <w:ind w:firstLine="426"/>
        <w:jc w:val="both"/>
      </w:pPr>
      <w:r>
        <w:lastRenderedPageBreak/>
        <w:t>4.8.20 При проектировании всех трех групп осветительных установок (ФО, АО, СИ) следует предусматривать следующие режимы их работы:</w:t>
      </w:r>
    </w:p>
    <w:p w:rsidR="00000000" w:rsidRDefault="00F36ADD">
      <w:pPr>
        <w:ind w:firstLine="426"/>
        <w:jc w:val="both"/>
      </w:pPr>
      <w:r>
        <w:t xml:space="preserve">- вечерний </w:t>
      </w:r>
      <w:r>
        <w:t>будничный режим, когда функционируют все стационарные установки ФО, АО и СИ, за исключением систем праздничного освещения;</w:t>
      </w:r>
    </w:p>
    <w:p w:rsidR="00000000" w:rsidRDefault="00F36ADD">
      <w:pPr>
        <w:ind w:firstLine="426"/>
        <w:jc w:val="both"/>
      </w:pPr>
      <w:r>
        <w:t>- ночной дежурный режим, когда в установках ФО, АО и СИ может отключаться часть осветительных приборов, допускаемая нормами освещенно</w:t>
      </w:r>
      <w:r>
        <w:t>сти и распоряжениями городской администрации;</w:t>
      </w:r>
    </w:p>
    <w:p w:rsidR="00000000" w:rsidRDefault="00F36ADD">
      <w:pPr>
        <w:ind w:firstLine="426"/>
        <w:jc w:val="both"/>
      </w:pPr>
      <w: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города;</w:t>
      </w:r>
    </w:p>
    <w:p w:rsidR="00000000" w:rsidRDefault="00F36ADD">
      <w:pPr>
        <w:ind w:firstLine="426"/>
        <w:jc w:val="both"/>
      </w:pPr>
      <w:r>
        <w:t>- сезонный режим, предусматриваемый главны</w:t>
      </w:r>
      <w:r>
        <w:t>м образом в рекреационных зонах для стационарных и временных установок ФО и АО в определенные сроки (зимой, осенью).</w:t>
      </w:r>
    </w:p>
    <w:p w:rsidR="00000000" w:rsidRDefault="00F36ADD">
      <w:pPr>
        <w:ind w:firstLine="426"/>
        <w:jc w:val="both"/>
      </w:pPr>
      <w:r>
        <w:t>4.8.21 Включение всех групп осветительных установок независимо от их ведомственной принадлежности должно производиться вечером при снижении</w:t>
      </w:r>
      <w:r>
        <w:t xml:space="preserve"> уровня естественной освещенности до 20 лк.</w:t>
      </w:r>
    </w:p>
    <w:p w:rsidR="00000000" w:rsidRDefault="00F36ADD">
      <w:pPr>
        <w:ind w:firstLine="426"/>
        <w:jc w:val="both"/>
      </w:pPr>
      <w:r>
        <w:t xml:space="preserve">Уровень суммарной засветки окон жилых зданий, общежитий, гостиниц и палат лечебно-профилактических учреждений должен соответствовать требованиям </w:t>
      </w:r>
      <w:hyperlink r:id="rId108" w:history="1">
        <w:r>
          <w:rPr>
            <w:rStyle w:val="a4"/>
            <w:color w:val="0000FF"/>
            <w:u w:val="single"/>
          </w:rPr>
          <w:t>СН</w:t>
        </w:r>
        <w:r>
          <w:rPr>
            <w:rStyle w:val="a4"/>
            <w:color w:val="0000FF"/>
            <w:u w:val="single"/>
          </w:rPr>
          <w:t xml:space="preserve"> РК 4.04-18</w:t>
        </w:r>
      </w:hyperlink>
      <w:r>
        <w:t>.</w:t>
      </w:r>
    </w:p>
    <w:p w:rsidR="00000000" w:rsidRDefault="00F36ADD">
      <w:pPr>
        <w:ind w:firstLine="426"/>
        <w:jc w:val="both"/>
      </w:pPr>
      <w:r>
        <w:t>Отключение производится:</w:t>
      </w:r>
    </w:p>
    <w:p w:rsidR="00000000" w:rsidRDefault="00F36ADD">
      <w:pPr>
        <w:ind w:firstLine="426"/>
        <w:jc w:val="both"/>
      </w:pPr>
      <w: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города, переключение освещения </w:t>
      </w:r>
      <w:r>
        <w:t>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000000" w:rsidRDefault="00F36ADD">
      <w:pPr>
        <w:ind w:firstLine="426"/>
        <w:jc w:val="both"/>
      </w:pPr>
      <w:r>
        <w:t>- установок АО - в соответствии с решением городской администрации, которая для большин</w:t>
      </w:r>
      <w:r>
        <w:t>ства освещаемых объектов назначает вечерний режим в зимнее и летнее полугодия до полуночи и до часу ночи соответственно, а на ряде объектов (вокзалы, градостроительные доминанты, въезды в город и т.п.) установки АО должны функционировать от заката до рассв</w:t>
      </w:r>
      <w:r>
        <w:t>ета;</w:t>
      </w:r>
    </w:p>
    <w:p w:rsidR="00000000" w:rsidRDefault="00F36ADD">
      <w:pPr>
        <w:ind w:firstLine="426"/>
        <w:jc w:val="both"/>
      </w:pPr>
      <w:r>
        <w:t>- установок СИ - по решению соответствующих ведомств или владельцев.</w:t>
      </w:r>
    </w:p>
    <w:p w:rsidR="00000000" w:rsidRDefault="00F36ADD">
      <w:pPr>
        <w:ind w:firstLine="426"/>
        <w:jc w:val="both"/>
      </w:pPr>
      <w:r>
        <w:rPr>
          <w:b/>
          <w:bCs/>
        </w:rPr>
        <w:t>4.9</w:t>
      </w:r>
      <w:r>
        <w:t xml:space="preserve"> </w:t>
      </w:r>
      <w:r>
        <w:rPr>
          <w:b/>
          <w:bCs/>
        </w:rPr>
        <w:t>Средства наружной рекламы и информации</w:t>
      </w:r>
    </w:p>
    <w:p w:rsidR="00000000" w:rsidRDefault="00F36ADD">
      <w:pPr>
        <w:ind w:firstLine="426"/>
        <w:jc w:val="both"/>
      </w:pPr>
      <w:r>
        <w:t>4.9.1 Средства наружной рекламы и информации на территории населенного пункта, как правило, размещаются в соответствии с положениями нормат</w:t>
      </w:r>
      <w:r>
        <w:t>ивных документов местных органов управления.</w:t>
      </w:r>
    </w:p>
    <w:p w:rsidR="00000000" w:rsidRDefault="00F36ADD">
      <w:pPr>
        <w:ind w:firstLine="426"/>
        <w:jc w:val="both"/>
      </w:pPr>
      <w:r>
        <w:rPr>
          <w:b/>
          <w:bCs/>
        </w:rPr>
        <w:t>4.10</w:t>
      </w:r>
      <w:r>
        <w:t xml:space="preserve"> </w:t>
      </w:r>
      <w:r>
        <w:rPr>
          <w:b/>
          <w:bCs/>
        </w:rPr>
        <w:t>Некапитальные нестационарные сооружения</w:t>
      </w:r>
    </w:p>
    <w:p w:rsidR="00000000" w:rsidRDefault="00F36ADD">
      <w:pPr>
        <w:ind w:firstLine="426"/>
        <w:jc w:val="both"/>
      </w:pPr>
      <w:r>
        <w:t>4.10.1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r>
        <w:t>.</w:t>
      </w:r>
    </w:p>
    <w:p w:rsidR="00000000" w:rsidRDefault="00F36ADD">
      <w:pPr>
        <w:ind w:firstLine="426"/>
        <w:jc w:val="both"/>
      </w:pPr>
      <w:r>
        <w:t>4.10.2 Допускается размещение сооружений на тротуарах шириной более 4,5 м (улицы общегородского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w:t>
      </w:r>
      <w:r>
        <w:t>вышает 700 пеш./час на одну полосу движения, равную 0,75 м.</w:t>
      </w:r>
    </w:p>
    <w:p w:rsidR="00000000" w:rsidRDefault="00F36ADD">
      <w:pPr>
        <w:ind w:firstLine="426"/>
        <w:jc w:val="both"/>
      </w:pPr>
      <w:r>
        <w:t>4.10.3 Сооружения предприятий мелкорозничной торговли, бытового обслуживания и питания (пассажи, палатки, павильоны, летние кафе и др.) рекомендуется размещать на территориях пешеходных зон, в пар</w:t>
      </w:r>
      <w:r>
        <w:t xml:space="preserve">ках, садах, на бульварах города.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w:t>
      </w:r>
      <w:r>
        <w:t>на прилегающей территории в зоне доступности 200 м).</w:t>
      </w:r>
    </w:p>
    <w:p w:rsidR="00000000" w:rsidRDefault="00F36ADD">
      <w:pPr>
        <w:ind w:firstLine="426"/>
        <w:jc w:val="both"/>
      </w:pPr>
      <w:r>
        <w:t>4.10.4 Размещение остановочных павильонов следует предусматривать в местах остановок наземного пассажирского транспорта. Для установки павильона следует предусматривать площадку с твердыми видами покрыти</w:t>
      </w:r>
      <w:r>
        <w:t xml:space="preserve">я размером 2,0 × 5,0 м и более (в </w:t>
      </w:r>
      <w:r>
        <w:lastRenderedPageBreak/>
        <w:t xml:space="preserve">случае блокировки с торговым киоском). Расстояние от края проезжей части до ближайшей конструкции павильона должно быть не менее 3,0 м, расстояние от боковых конструкций павильона до стволов деревьев - не менее 2,0 м, при </w:t>
      </w:r>
      <w:r>
        <w:t xml:space="preserve">этом деревья должны быть с компактной кроной. Размещение ограждений остановочных площадок следует проектировать согласно </w:t>
      </w:r>
      <w:hyperlink r:id="rId109" w:history="1">
        <w:r>
          <w:rPr>
            <w:rStyle w:val="a4"/>
            <w:color w:val="0000FF"/>
            <w:u w:val="single"/>
          </w:rPr>
          <w:t>ГОСТ 23457</w:t>
        </w:r>
      </w:hyperlink>
      <w:r>
        <w:t>. При проектировании остановочных пунктов следует обеспечиват</w:t>
      </w:r>
      <w:r>
        <w:t>ь требования соответствующих нормативных документов.</w:t>
      </w:r>
    </w:p>
    <w:p w:rsidR="00000000" w:rsidRDefault="00F36ADD">
      <w:pPr>
        <w:ind w:firstLine="426"/>
        <w:jc w:val="both"/>
      </w:pPr>
      <w:r>
        <w:t>4.10.5 Размещение туалетных кабин следует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w:t>
      </w:r>
      <w:r>
        <w:t>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при некапитальных нестационарных сооружениях питания. Не допускается размещение туалетных к</w:t>
      </w:r>
      <w:r>
        <w:t>абин на придомовой территории. Расстояние до жилых и общественных зданий должно быть не менее 20 м. Туалетную кабину следует устанавливать на твердые виды покрытия. Покрытие и ширина пешеходного подхода к туалетной кабине должны быть рассчитаны на эпизодич</w:t>
      </w:r>
      <w:r>
        <w:t>еский проезд специализированного автотранспорта.</w:t>
      </w:r>
    </w:p>
    <w:p w:rsidR="00000000" w:rsidRDefault="00F36ADD">
      <w:pPr>
        <w:ind w:firstLine="426"/>
        <w:jc w:val="both"/>
      </w:pPr>
      <w:r>
        <w:rPr>
          <w:b/>
          <w:bCs/>
        </w:rPr>
        <w:t>4.11</w:t>
      </w:r>
      <w:r>
        <w:t xml:space="preserve"> </w:t>
      </w:r>
      <w:r>
        <w:rPr>
          <w:b/>
          <w:bCs/>
        </w:rPr>
        <w:t>Оформление и оборудование зданий и сооружений</w:t>
      </w:r>
    </w:p>
    <w:p w:rsidR="00000000" w:rsidRDefault="00F36ADD">
      <w:pPr>
        <w:ind w:firstLine="426"/>
        <w:jc w:val="both"/>
      </w:pPr>
      <w:r>
        <w:t>4.11.1 Колористическое решение фасадов объекта может быть типовым и индивидуальным. Колористическое решение фасадов объекта, как правило, формируется с учет</w:t>
      </w:r>
      <w:r>
        <w:t>ом: функционального назначения объекта, местоположения объекта в структуре населенного пункта, зон визуального восприятия, архитектурной колористики окружающей застройки, материала существующих ограждающих конструкций и других факторов.</w:t>
      </w:r>
    </w:p>
    <w:p w:rsidR="00000000" w:rsidRDefault="00F36ADD">
      <w:pPr>
        <w:ind w:firstLine="426"/>
        <w:jc w:val="both"/>
      </w:pPr>
      <w:r>
        <w:t>4.11.2 Размещение н</w:t>
      </w:r>
      <w:r>
        <w:t>аружных кондиционеров и антенн - «тарелок» на зданиях, расположенных вдоль магистральных улиц города, следует предусматривать со стороны дворовых фасадов.</w:t>
      </w:r>
    </w:p>
    <w:p w:rsidR="00000000" w:rsidRDefault="00F36ADD">
      <w:pPr>
        <w:ind w:firstLine="426"/>
        <w:jc w:val="both"/>
      </w:pPr>
      <w:r>
        <w:t>4.11.3 На зданиях и сооружениях города следует предусматривать размещение следующих домовых знаков: у</w:t>
      </w:r>
      <w:r>
        <w:t>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w:t>
      </w:r>
      <w:r>
        <w:t>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опре</w:t>
      </w:r>
      <w:r>
        <w:t>деляются функциональным назначением и местоположением зданий относительно улично-дорожной сети.</w:t>
      </w:r>
    </w:p>
    <w:p w:rsidR="00000000" w:rsidRDefault="00F36ADD">
      <w:pPr>
        <w:ind w:firstLine="426"/>
        <w:jc w:val="both"/>
      </w:pPr>
      <w:r>
        <w:t>4.11.4 Для обеспечения поверхностного водоотвода от зданий и сооружений по их периметру предусматривают устройство отмостки с надежной гидроизоляцией. Уклон отмостки следует принимать не менее 10‰ от здания. Ширину отмостки для зданий и сооружений рекоменд</w:t>
      </w:r>
      <w:r>
        <w:t>уется принимать 0,8-1,2 м, в сложных геологических условиях (грунты с карстами) - 1,5-3 м. В случае примыкания здания к пешеходным коммуникациям роль отмостки выполняет тротуар с твердым видом покрытия без швов.</w:t>
      </w:r>
    </w:p>
    <w:p w:rsidR="00000000" w:rsidRDefault="00F36ADD">
      <w:pPr>
        <w:ind w:firstLine="426"/>
        <w:jc w:val="both"/>
      </w:pPr>
      <w:r>
        <w:t>4.11.5 При организации стока воды через водо</w:t>
      </w:r>
      <w:r>
        <w:t>сточные трубы со скатных крыш следует:</w:t>
      </w:r>
    </w:p>
    <w:p w:rsidR="00000000" w:rsidRDefault="00F36ADD">
      <w:pPr>
        <w:ind w:firstLine="426"/>
        <w:jc w:val="both"/>
      </w:pPr>
      <w: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000000" w:rsidRDefault="00F36ADD">
      <w:pPr>
        <w:ind w:firstLine="426"/>
        <w:jc w:val="both"/>
      </w:pPr>
      <w:r>
        <w:t>- не допускать высоты своб</w:t>
      </w:r>
      <w:r>
        <w:t>одного падения воды на поверхность из выходного отверстия трубы более 200 мм;</w:t>
      </w:r>
    </w:p>
    <w:p w:rsidR="00000000" w:rsidRDefault="00F36ADD">
      <w:pPr>
        <w:ind w:firstLine="426"/>
        <w:jc w:val="both"/>
      </w:pPr>
      <w: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w:t>
      </w:r>
      <w:r>
        <w:t>устройство лотков в покрытии (закрытых или перекрытых решетками);</w:t>
      </w:r>
    </w:p>
    <w:p w:rsidR="00000000" w:rsidRDefault="00F36ADD">
      <w:pPr>
        <w:ind w:firstLine="426"/>
        <w:jc w:val="both"/>
      </w:pPr>
      <w:r>
        <w:lastRenderedPageBreak/>
        <w:t>- предусматривать в местах стока воды из трубы на газон или иные «мягкие» виды покрытия устройство дренажа.</w:t>
      </w:r>
    </w:p>
    <w:p w:rsidR="00000000" w:rsidRDefault="00F36ADD">
      <w:pPr>
        <w:ind w:firstLine="426"/>
        <w:jc w:val="both"/>
      </w:pPr>
      <w:r>
        <w:t>4.11.6 Входные группы зданий жилого и общественного назначения должны быть оборудо</w:t>
      </w:r>
      <w:r>
        <w:t>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000000" w:rsidRDefault="00F36ADD">
      <w:pPr>
        <w:ind w:firstLine="426"/>
        <w:jc w:val="both"/>
      </w:pPr>
      <w:r>
        <w:t>4.11.7 Рекомендуется предусматрив</w:t>
      </w:r>
      <w:r>
        <w:t>ать при входных группах организацию площадок с твердыми видами покрытия, скамьями и различными приемами озеленения. Размещение площадок при входах может быть предусмотрено как в границах территории участка, так и на прилегающих к входным группам общественн</w:t>
      </w:r>
      <w:r>
        <w:t>ых территориях города.</w:t>
      </w:r>
    </w:p>
    <w:p w:rsidR="00000000" w:rsidRDefault="00F36ADD">
      <w:pPr>
        <w:ind w:firstLine="426"/>
        <w:jc w:val="both"/>
      </w:pPr>
      <w:r>
        <w:t>4.11.8 Допускается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подтвержденная расчетом (</w:t>
      </w:r>
      <w:r>
        <w:t>приложение К). В этом случае следует предусматривать наличие разделяющих элементов (стационарного или переносного ограждения), контейнерного озеленения.</w:t>
      </w:r>
    </w:p>
    <w:p w:rsidR="00000000" w:rsidRDefault="00F36ADD">
      <w:pPr>
        <w:ind w:firstLine="426"/>
        <w:jc w:val="both"/>
      </w:pPr>
      <w:r>
        <w:t>4.11.9 В случае размещения входных групп в зоне тротуаров улично-дорожной сети с минимальной нормативно</w:t>
      </w:r>
      <w:r>
        <w:t>й шириной тротуара элементы входной группы (ступени, пандусы, крыльцо, озеленение) могут быть вынесены на прилегающий тротуар не более чем на 0,5 м.</w:t>
      </w:r>
    </w:p>
    <w:p w:rsidR="00000000" w:rsidRDefault="00F36ADD">
      <w:pPr>
        <w:ind w:firstLine="426"/>
        <w:jc w:val="both"/>
      </w:pPr>
      <w:r>
        <w:t>4.11.10 Для защиты пешеходов и выступающих стеклянных витрин от падения снежного настила и сосулек с края к</w:t>
      </w:r>
      <w:r>
        <w:t>рыши, а также падения плиток облицовки со стен отдельных зданий периода застройки до 70-х годов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w:t>
      </w:r>
      <w:r>
        <w:t>трического контура по внешнему периметру крыши.</w:t>
      </w:r>
    </w:p>
    <w:p w:rsidR="00000000" w:rsidRDefault="00F36ADD">
      <w:pPr>
        <w:ind w:firstLine="426"/>
        <w:jc w:val="both"/>
      </w:pPr>
      <w:r>
        <w:rPr>
          <w:b/>
          <w:bCs/>
        </w:rPr>
        <w:t>4.12</w:t>
      </w:r>
      <w:r>
        <w:t xml:space="preserve"> </w:t>
      </w:r>
      <w:r>
        <w:rPr>
          <w:b/>
          <w:bCs/>
        </w:rPr>
        <w:t>Площадки</w:t>
      </w:r>
    </w:p>
    <w:p w:rsidR="00000000" w:rsidRDefault="00F36ADD">
      <w:pPr>
        <w:jc w:val="both"/>
      </w:pPr>
      <w:r>
        <w:rPr>
          <w:rStyle w:val="s3"/>
        </w:rPr>
        <w:t xml:space="preserve">Пункт 4.12.1 изложен в редакции </w:t>
      </w:r>
      <w:hyperlink r:id="rId110" w:anchor="sub_id=110" w:history="1">
        <w:r>
          <w:rPr>
            <w:rStyle w:val="a4"/>
            <w:i/>
            <w:iCs/>
            <w:color w:val="0000FF"/>
            <w:u w:val="single"/>
          </w:rPr>
          <w:t>приказа</w:t>
        </w:r>
      </w:hyperlink>
      <w:r>
        <w:rPr>
          <w:rStyle w:val="s3"/>
        </w:rPr>
        <w:t xml:space="preserve"> Председателя Комитета по делам строительства и жилищно-коммунального хозя</w:t>
      </w:r>
      <w:r>
        <w:rPr>
          <w:rStyle w:val="s3"/>
        </w:rPr>
        <w:t>йства Министерства индустрии и инфраструктурного развития РК от 06.11.19 г. № 178-НҚ (</w:t>
      </w:r>
      <w:hyperlink r:id="rId111" w:anchor="sub_id=4120100" w:history="1">
        <w:r>
          <w:rPr>
            <w:rStyle w:val="a4"/>
            <w:i/>
            <w:iCs/>
            <w:color w:val="0000FF"/>
            <w:u w:val="single"/>
          </w:rPr>
          <w:t>см. стар. ред.</w:t>
        </w:r>
      </w:hyperlink>
      <w:r>
        <w:rPr>
          <w:rStyle w:val="s3"/>
        </w:rPr>
        <w:t>)</w:t>
      </w:r>
    </w:p>
    <w:p w:rsidR="00000000" w:rsidRDefault="00F36ADD">
      <w:pPr>
        <w:ind w:firstLine="426"/>
        <w:jc w:val="both"/>
      </w:pPr>
      <w:r>
        <w:t>4.12.1 Детские площадки предназначены для игр и активного отдыха дете</w:t>
      </w:r>
      <w:r>
        <w:t xml:space="preserve">й разных возрастов: преддошкольного - до 3 лет, дошкольного (до 7 лет), младшего и среднего школьного возраста (7-12 лет). Детские площадки на участках детских садов, садов - яслей и школ следует проектировать согласно </w:t>
      </w:r>
      <w:r>
        <w:rPr>
          <w:rStyle w:val="s0"/>
        </w:rPr>
        <w:t>СН РК 3.02-04</w:t>
      </w:r>
      <w:r>
        <w:t xml:space="preserve"> и СН РК 3.02-04-2011.</w:t>
      </w:r>
    </w:p>
    <w:p w:rsidR="00000000" w:rsidRDefault="00F36ADD">
      <w:pPr>
        <w:ind w:firstLine="426"/>
        <w:jc w:val="both"/>
      </w:pPr>
      <w:r>
        <w:t>4</w:t>
      </w:r>
      <w:r>
        <w:t xml:space="preserve">.12.2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гаражей - стоянок следует принимать согласно </w:t>
      </w:r>
      <w:hyperlink r:id="rId112" w:anchor="sub_id=2" w:history="1">
        <w:r>
          <w:rPr>
            <w:rStyle w:val="a4"/>
            <w:color w:val="0000FF"/>
            <w:u w:val="single"/>
          </w:rPr>
          <w:t>приложению 2</w:t>
        </w:r>
      </w:hyperlink>
      <w:r>
        <w:t xml:space="preserve"> к Санитарным правилам «Санитарно-эпидемиологические требования по установлению санитарно-защитной зоны производственных объектов», площадок мусоросборников - 15 м, отстойно-разворотных площадок на конечных </w:t>
      </w:r>
      <w:r>
        <w:t>остановках маршрутов городского пассажирского транспорта - не менее 50 м.</w:t>
      </w:r>
    </w:p>
    <w:p w:rsidR="00000000" w:rsidRDefault="00F36ADD">
      <w:pPr>
        <w:ind w:firstLine="426"/>
        <w:jc w:val="both"/>
      </w:pPr>
      <w:r>
        <w:t>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w:t>
      </w:r>
      <w:r>
        <w:t>тков (12-16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000000" w:rsidRDefault="00F36ADD">
      <w:pPr>
        <w:ind w:firstLine="426"/>
        <w:jc w:val="both"/>
      </w:pPr>
      <w:r>
        <w:t>4.12.3 Расстояние от окон жилых домов и общественных зданий до</w:t>
      </w:r>
      <w:r>
        <w:t xml:space="preserve"> границ детских площадок дошкольного возраста следует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дошкольного</w:t>
      </w:r>
      <w:r>
        <w:t xml:space="preserve"> и преддошкольного возраста следует размещать на участке жилой застройки, площадки младшего и среднего школьного возраста, комплексные игровые площадки рекомендуется </w:t>
      </w:r>
      <w:r>
        <w:lastRenderedPageBreak/>
        <w:t>размещать на озелененных территориях группы или микрорайона, спортивно-игровые комплексы и</w:t>
      </w:r>
      <w:r>
        <w:t xml:space="preserve"> места для катания - в парках жилого района.</w:t>
      </w:r>
    </w:p>
    <w:p w:rsidR="00000000" w:rsidRDefault="00F36ADD">
      <w:pPr>
        <w:ind w:firstLine="426"/>
        <w:jc w:val="both"/>
      </w:pPr>
      <w:r>
        <w:t>4.12.4</w:t>
      </w:r>
      <w:r>
        <w:rPr>
          <w:i/>
          <w:iCs/>
        </w:rPr>
        <w:t xml:space="preserve"> </w:t>
      </w:r>
      <w:r>
        <w:t>Площадки для игр детей на территориях жилого назначения проектируются из нормативного расчета 0,5-0,7 кв. м на 1 жителя. Размеры и условия размещения площадок следует проектировать в зависимости от возрас</w:t>
      </w:r>
      <w:r>
        <w:t>тных групп детей и места размещения жилой застройки в городе.</w:t>
      </w:r>
    </w:p>
    <w:p w:rsidR="00000000" w:rsidRDefault="00F36ADD">
      <w:pPr>
        <w:ind w:firstLine="426"/>
        <w:jc w:val="both"/>
      </w:pPr>
      <w:r>
        <w:t>4.12.5 Площадки детей преддошкольного возраста могут иметь незначительные размеры (50-75 кв. м), размещаться отдельно или совмещаться с площадками для тихого отдыха взрослых - в этом случае обща</w:t>
      </w:r>
      <w:r>
        <w:t>я площадь площадки должна быть не менее 80 кв. м.</w:t>
      </w:r>
    </w:p>
    <w:p w:rsidR="00000000" w:rsidRDefault="00F36ADD">
      <w:pPr>
        <w:ind w:firstLine="426"/>
        <w:jc w:val="both"/>
      </w:pPr>
      <w:r>
        <w:t>4.12.6 Оптимальный размер игровых площадок для детей дошкольного возраста - 70-150 м, школьного возраста - 100-300 кв. м, комплексных игровых площадок - 900-1600 кв. м. Допускается объединение площадок дошк</w:t>
      </w:r>
      <w:r>
        <w:t>ольного возраста с площадками отдыха взрослых (размер площадки - не менее 150 кв. м). Соседствующие детские и взрослые площадки следует разделять густыми зелеными посадками и (или) декоративными стенками.</w:t>
      </w:r>
    </w:p>
    <w:p w:rsidR="00000000" w:rsidRDefault="00F36ADD">
      <w:pPr>
        <w:ind w:firstLine="426"/>
        <w:jc w:val="both"/>
      </w:pPr>
      <w:r>
        <w:t>4.12.7 В условиях исторической или высокоплотной за</w:t>
      </w:r>
      <w:r>
        <w:t xml:space="preserve">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населенного пункта, или в составе застройки согласно </w:t>
      </w:r>
      <w:hyperlink r:id="rId113" w:anchor="sub_id=603" w:history="1">
        <w:r>
          <w:rPr>
            <w:rStyle w:val="a4"/>
            <w:color w:val="0000FF"/>
            <w:u w:val="single"/>
          </w:rPr>
          <w:t>пункту 6.3.1</w:t>
        </w:r>
      </w:hyperlink>
      <w:r>
        <w:t>.</w:t>
      </w:r>
    </w:p>
    <w:p w:rsidR="00000000" w:rsidRDefault="00F36ADD">
      <w:pPr>
        <w:ind w:firstLine="426"/>
        <w:jc w:val="both"/>
      </w:pPr>
      <w:r>
        <w:t xml:space="preserve">4.12.8 Исключен в соответствии с </w:t>
      </w:r>
      <w:hyperlink r:id="rId114" w:anchor="sub_id=2" w:history="1">
        <w:r>
          <w:rPr>
            <w:rStyle w:val="a4"/>
            <w:color w:val="0000FF"/>
            <w:u w:val="single"/>
          </w:rPr>
          <w:t>приказом</w:t>
        </w:r>
      </w:hyperlink>
      <w:r>
        <w:rPr>
          <w:rStyle w:val="s0"/>
        </w:rPr>
        <w:t xml:space="preserve"> </w:t>
      </w:r>
      <w:r>
        <w:rPr>
          <w:rStyle w:val="s0"/>
        </w:rPr>
        <w:t xml:space="preserve">Председателя Комитета по делам строительства и жилищно-коммунального хозяйства Министерства индустрии и инфраструктурного развития РК от 10.01.20 г. № 4-НҚ </w:t>
      </w:r>
      <w:r>
        <w:rPr>
          <w:rStyle w:val="s3"/>
        </w:rPr>
        <w:t>(</w:t>
      </w:r>
      <w:hyperlink r:id="rId115" w:anchor="sub_id=4120800" w:history="1">
        <w:r>
          <w:rPr>
            <w:rStyle w:val="a4"/>
            <w:i/>
            <w:iCs/>
            <w:color w:val="0000FF"/>
            <w:u w:val="single"/>
          </w:rPr>
          <w:t>см. стар. ред.</w:t>
        </w:r>
      </w:hyperlink>
      <w:r>
        <w:rPr>
          <w:rStyle w:val="s3"/>
        </w:rPr>
        <w:t>)</w:t>
      </w:r>
    </w:p>
    <w:p w:rsidR="00000000" w:rsidRDefault="00F36ADD">
      <w:pPr>
        <w:ind w:firstLine="426"/>
        <w:jc w:val="both"/>
      </w:pPr>
      <w:r>
        <w:t>4.12.9 Перечень элементов комплексного благоустройства на детской площадке, как правило,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000000" w:rsidRDefault="00F36ADD">
      <w:pPr>
        <w:ind w:firstLine="426"/>
        <w:jc w:val="both"/>
      </w:pPr>
      <w:r>
        <w:t>4.</w:t>
      </w:r>
      <w:r>
        <w:t>12.10 «Мягкие»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связанных</w:t>
      </w:r>
      <w:r>
        <w:t xml:space="preserve">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необходимо предусматривать пешеходные дорожки к оборудованию с твердым или комбинированным видами покр</w:t>
      </w:r>
      <w:r>
        <w:t>ытия.</w:t>
      </w:r>
    </w:p>
    <w:p w:rsidR="00000000" w:rsidRDefault="00F36ADD">
      <w:pPr>
        <w:ind w:firstLine="426"/>
        <w:jc w:val="both"/>
      </w:pPr>
      <w:r>
        <w:t>4.12.11 Для сопряжения поверхностей площадки и газона следует применять садовые бортовые камни со скошенными или закругленными краями.</w:t>
      </w:r>
    </w:p>
    <w:p w:rsidR="00000000" w:rsidRDefault="00F36ADD">
      <w:pPr>
        <w:ind w:firstLine="426"/>
        <w:jc w:val="both"/>
      </w:pPr>
      <w:r>
        <w:t>4.12.12 Детские площадки должны быть озеленены посадками деревьев и кустарника, инсолироваться в течение 5 часов св</w:t>
      </w:r>
      <w:r>
        <w:t>етового дня. Деревья с восточной и северной стороны площадки должны высаживаться не ближе 3 м, а с южной и западной - не ближе 1 м от края площадки до оси дерева. Не допускается на площадках дошкольного возраста применение видов растений с колючками. На вс</w:t>
      </w:r>
      <w:r>
        <w:t>ех видах детских площадок не допускается применение растений с ядовитыми плодами.</w:t>
      </w:r>
    </w:p>
    <w:p w:rsidR="00000000" w:rsidRDefault="00F36ADD">
      <w:pPr>
        <w:ind w:firstLine="426"/>
        <w:jc w:val="both"/>
      </w:pPr>
      <w:r>
        <w:t xml:space="preserve">4.12.13 Размещение игрового оборудования следует проектировать с учетом нормативных параметров безопасности, представленных в </w:t>
      </w:r>
      <w:hyperlink r:id="rId116" w:anchor="sub_id=89" w:history="1">
        <w:r>
          <w:rPr>
            <w:rStyle w:val="a4"/>
            <w:color w:val="0000FF"/>
            <w:u w:val="single"/>
          </w:rPr>
          <w:t>таблице 4.7</w:t>
        </w:r>
      </w:hyperlink>
      <w:r>
        <w:t>. Площадки спортивно - игровых комплексов должны быть оборудованы стендом с правилами поведения на площадке и пользования спортивно-игровым оборудованием.</w:t>
      </w:r>
    </w:p>
    <w:p w:rsidR="00000000" w:rsidRDefault="00F36ADD">
      <w:pPr>
        <w:ind w:firstLine="426"/>
        <w:jc w:val="both"/>
      </w:pPr>
      <w:r>
        <w:t xml:space="preserve">4.12.14 Осветительное оборудование должно функционировать </w:t>
      </w:r>
      <w:r>
        <w:t>в режиме освещения территории, на которой расположена площадка. Не допускается размещение осветительного оборудования на высоте менее 2,5 м.</w:t>
      </w:r>
    </w:p>
    <w:p w:rsidR="00000000" w:rsidRDefault="00F36ADD">
      <w:pPr>
        <w:ind w:firstLine="426"/>
        <w:jc w:val="both"/>
      </w:pPr>
      <w:r>
        <w:t>4.12.15 Площадки отдыха не должны быть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3 м. Расстояние от границ</w:t>
      </w:r>
      <w:r>
        <w:t xml:space="preserve">ы площадки отдыха до мест хранения автомобилей следует принимать согласно </w:t>
      </w:r>
      <w:hyperlink r:id="rId117" w:anchor="sub_id=2" w:history="1">
        <w:r>
          <w:rPr>
            <w:rStyle w:val="a4"/>
            <w:color w:val="0000FF"/>
            <w:u w:val="single"/>
          </w:rPr>
          <w:t>приложению 2</w:t>
        </w:r>
      </w:hyperlink>
      <w:r>
        <w:t xml:space="preserve"> к Санитарным правилам «Санитарно-эпидемиологические </w:t>
      </w:r>
      <w:r>
        <w:lastRenderedPageBreak/>
        <w:t>требования по установлению санитарно-з</w:t>
      </w:r>
      <w:r>
        <w:t>ащитной зоны производственных объектов»,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должно быть не менее 10 м, площадок</w:t>
      </w:r>
      <w:r>
        <w:t xml:space="preserve"> шумных настольных игр - не менее 25 м.</w:t>
      </w:r>
    </w:p>
    <w:p w:rsidR="00000000" w:rsidRDefault="00F36ADD">
      <w:pPr>
        <w:ind w:firstLine="426"/>
        <w:jc w:val="both"/>
      </w:pPr>
      <w:r>
        <w:t>4.12.16 Как правило,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w:t>
      </w:r>
      <w:r>
        <w:t>лы, урны (как минимум, по одной у каждой скамьи), осветительное оборудование.</w:t>
      </w:r>
    </w:p>
    <w:p w:rsidR="00000000" w:rsidRDefault="00F36ADD">
      <w:pPr>
        <w:ind w:firstLine="426"/>
        <w:jc w:val="both"/>
      </w:pPr>
      <w:r>
        <w:t>4.12.17 Площадки отдыха на жилых территориях следует проектировать из расчета 0,1-0,2 кв. м на жителя. Оптимальный размер площадки 50-100 кв. м, размер площадки индивидуального о</w:t>
      </w:r>
      <w:r>
        <w:t xml:space="preserve">тдыха - не менее 15-20 кв. м. Допускается совмещение площадок тихого отдыха с детскими площадками согласно </w:t>
      </w:r>
      <w:hyperlink r:id="rId118" w:anchor="sub_id=41241" w:history="1">
        <w:r>
          <w:rPr>
            <w:rStyle w:val="a4"/>
            <w:color w:val="0000FF"/>
            <w:u w:val="single"/>
          </w:rPr>
          <w:t>4.12.4.1</w:t>
        </w:r>
      </w:hyperlink>
      <w:r>
        <w:t>. Не рекомендуется объединение тихого отдыха и шумных наст</w:t>
      </w:r>
      <w:r>
        <w:t>ольных игр на одной площадке. На территориях парков рекомендуется организация площадок - лужаек для отдыха на траве.</w:t>
      </w:r>
    </w:p>
    <w:p w:rsidR="00000000" w:rsidRDefault="00F36ADD">
      <w:pPr>
        <w:ind w:firstLine="426"/>
        <w:jc w:val="both"/>
      </w:pPr>
      <w:r>
        <w:t>4.12.18 Перечень элементов комплексного благоустройства на площадке отдыха, как правило, включает: твердые виды покрытия, элементы сопряжен</w:t>
      </w:r>
      <w:r>
        <w:t>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000000" w:rsidRDefault="00F36ADD">
      <w:pPr>
        <w:ind w:firstLine="426"/>
        <w:jc w:val="both"/>
      </w:pPr>
      <w:r>
        <w:t>4.12.19 Покрытие площадки рекомендуется проектировать в виде плиточного мощения. При совмещении площ</w:t>
      </w:r>
      <w:r>
        <w:t>адок отдыха и детских площадок не допускается устройство твердых видов покрытия в зоне детских игр.</w:t>
      </w:r>
    </w:p>
    <w:p w:rsidR="00000000" w:rsidRDefault="00F36ADD">
      <w:pPr>
        <w:ind w:firstLine="426"/>
        <w:jc w:val="both"/>
      </w:pPr>
      <w:r>
        <w:t>4.12.20 Рекомендуется применять периметральное озеленение, одиночные посадки деревьев и кустарников, цветники, вертикальное и мобильное озеленение. Площадки</w:t>
      </w:r>
      <w:r>
        <w:t>-лужайки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000000" w:rsidRDefault="00F36ADD">
      <w:pPr>
        <w:ind w:firstLine="426"/>
        <w:jc w:val="both"/>
      </w:pPr>
      <w:r>
        <w:t>4.12.21 Осветительное оборудование должно функционировать в режиме освещения территор</w:t>
      </w:r>
      <w:r>
        <w:t>ии, на которой расположена площадка.</w:t>
      </w:r>
    </w:p>
    <w:p w:rsidR="00000000" w:rsidRDefault="00F36ADD">
      <w:pPr>
        <w:ind w:firstLine="426"/>
        <w:jc w:val="both"/>
      </w:pPr>
      <w:r>
        <w:t>4.12.22 Минимальный размер площадки с установкой одного стола со скамьями для настольных игр составляет 12-15 кв. м.</w:t>
      </w:r>
    </w:p>
    <w:p w:rsidR="00000000" w:rsidRDefault="00F36ADD">
      <w:pPr>
        <w:ind w:firstLine="426"/>
        <w:jc w:val="both"/>
      </w:pPr>
      <w:r>
        <w:t>4.12.23 Расстояние от границы спортивной площадки до мест хранения легковых автомобилей принимать согл</w:t>
      </w:r>
      <w:r>
        <w:t xml:space="preserve">асно </w:t>
      </w:r>
      <w:hyperlink r:id="rId119" w:anchor="sub_id=2" w:history="1">
        <w:r>
          <w:rPr>
            <w:rStyle w:val="a4"/>
            <w:color w:val="0000FF"/>
            <w:u w:val="single"/>
          </w:rPr>
          <w:t>приложению 2</w:t>
        </w:r>
      </w:hyperlink>
      <w:r>
        <w:t xml:space="preserve"> к Санитарным правилам «Санитарно-эпидемиологические требования по установлению санитарно-защитной зоны производственных объектов».</w:t>
      </w:r>
    </w:p>
    <w:p w:rsidR="00000000" w:rsidRDefault="00F36ADD">
      <w:pPr>
        <w:ind w:firstLine="426"/>
        <w:jc w:val="both"/>
      </w:pPr>
      <w:r>
        <w:t>4.12.24 Размещение и проекти</w:t>
      </w:r>
      <w:r>
        <w:t xml:space="preserve">рование благоустройства спортивного ядра на территории участков общеобразовательных школ необходимо вести </w:t>
      </w:r>
      <w:hyperlink r:id="rId120" w:history="1">
        <w:r>
          <w:rPr>
            <w:rStyle w:val="a4"/>
            <w:color w:val="0000FF"/>
            <w:u w:val="single"/>
          </w:rPr>
          <w:t>СНиП РК 3.02-25</w:t>
        </w:r>
      </w:hyperlink>
      <w:r>
        <w:t xml:space="preserve"> с учетом обслуживания населения прилегающей жилой застройки. Минималь</w:t>
      </w:r>
      <w:r>
        <w:t>ное расстояние от границ спортплощадок до окон жилых домов следует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w:t>
      </w:r>
      <w:r>
        <w:t>нее 150 кв. м, школьного возраста (100 детей) - не менее 250 кв. м.</w:t>
      </w:r>
    </w:p>
    <w:p w:rsidR="00000000" w:rsidRDefault="00F36ADD">
      <w:pPr>
        <w:ind w:firstLine="426"/>
        <w:jc w:val="both"/>
      </w:pPr>
      <w:r>
        <w:t>4.12.25 Как правило, перечень элементов комплексного благоустройства на спортивной площадке: «мягкие» или газонные виды покрытия, спортивное оборудование. Рекомендуется озеленение и огражд</w:t>
      </w:r>
      <w:r>
        <w:t>ение площадки.</w:t>
      </w:r>
    </w:p>
    <w:p w:rsidR="00000000" w:rsidRDefault="00F36ADD">
      <w:pPr>
        <w:ind w:firstLine="426"/>
        <w:jc w:val="both"/>
      </w:pPr>
      <w:r>
        <w:t>4.12.26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w:t>
      </w:r>
      <w:r>
        <w:t>тво летящих семян, обильно плодоносящие и рано сбрасывающие листву. Для ограждения площадки возможно применение вертикального озеленения.</w:t>
      </w:r>
    </w:p>
    <w:p w:rsidR="00000000" w:rsidRDefault="00F36ADD">
      <w:pPr>
        <w:ind w:firstLine="426"/>
        <w:jc w:val="both"/>
      </w:pPr>
      <w:r>
        <w:t>4.12.27 Площадки рекомендуется оборудовать сетчатым ограждением высотой 2,5-3 м, в местах примыкания спортивных площад</w:t>
      </w:r>
      <w:r>
        <w:t>ок друг к другу - высотой не менее 1,2 м.</w:t>
      </w:r>
    </w:p>
    <w:p w:rsidR="00000000" w:rsidRDefault="00F36ADD">
      <w:pPr>
        <w:ind w:firstLine="426"/>
        <w:jc w:val="both"/>
      </w:pPr>
      <w:r>
        <w:lastRenderedPageBreak/>
        <w:t>4.12.28 Площадки должны быть удалены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w:t>
      </w:r>
      <w:r>
        <w:t>ым дорожкам от дальнего подъезда. Территория площадки должна примыкать к проездам и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w:t>
      </w:r>
      <w:r>
        <w:t>йнеров и наличия разворотных площадок (12 м × 12 м).</w:t>
      </w:r>
    </w:p>
    <w:p w:rsidR="00000000" w:rsidRDefault="00F36ADD">
      <w:pPr>
        <w:ind w:firstLine="426"/>
        <w:jc w:val="both"/>
      </w:pPr>
      <w:r>
        <w:t>4.12.29 Перечень элементов комплексного благоустройства на площадке для установки мусоросборников, как правило, включает: твердые виды покрытия, элементы сопряжения поверхности площадки с прилегающими те</w:t>
      </w:r>
      <w:r>
        <w:t>рриториями, контейнер для сбора ТБО, осветительное оборудование. Рекомендуется проектировать озеленение площадки.</w:t>
      </w:r>
    </w:p>
    <w:p w:rsidR="00000000" w:rsidRDefault="00F36ADD">
      <w:pPr>
        <w:ind w:firstLine="426"/>
        <w:jc w:val="both"/>
      </w:pPr>
      <w:r>
        <w:t>Рекомендуется проектировать размещение площадок вне зоны видимости с транзитных транспортных и пешеходных коммуникаций, в стороне от уличных ф</w:t>
      </w:r>
      <w:r>
        <w:t>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000000" w:rsidRDefault="00F36ADD">
      <w:pPr>
        <w:ind w:firstLine="426"/>
        <w:jc w:val="both"/>
      </w:pPr>
      <w:r>
        <w:t>4.12.30 Размер площадки на один контейнер следует принимать 2-3 м</w:t>
      </w:r>
      <w:r>
        <w:rPr>
          <w:vertAlign w:val="superscript"/>
        </w:rPr>
        <w:t>2</w:t>
      </w:r>
      <w:r>
        <w:t>. Между контейнером и краем площадки размер п</w:t>
      </w:r>
      <w:r>
        <w:t>рохода должен составлять не менее 1,0 м, между контейнерами - не менее 0,35 м. На территории жилого назначения площадки следует проектировать из расчета 0,03 кв. м на 1 жителя или 1 площадка на 6-8 подъездов жилых домов, имеющих мусоропроводы; если подъезд</w:t>
      </w:r>
      <w:r>
        <w:t>ов меньше - одну площадку при каждом доме.</w:t>
      </w:r>
    </w:p>
    <w:p w:rsidR="00000000" w:rsidRDefault="00F36ADD">
      <w:pPr>
        <w:ind w:firstLine="426"/>
        <w:jc w:val="both"/>
      </w:pPr>
      <w:r>
        <w:t>4.12.31 Как правило,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w:t>
      </w:r>
      <w:r>
        <w:t xml:space="preserve"> контейнер для сбора ТБО, осветительное оборудование. Рекомендуется проектировать озеленение площадки.</w:t>
      </w:r>
    </w:p>
    <w:p w:rsidR="00000000" w:rsidRDefault="00F36ADD">
      <w:pPr>
        <w:ind w:firstLine="426"/>
        <w:jc w:val="both"/>
      </w:pPr>
      <w:r>
        <w:t>4.12.32 Покрытие площадки должно быть аналогичным покрытию транспортных проездов. Уклон покрытия площадки должен составлять 5-10‰ в сторону проезжей част</w:t>
      </w:r>
      <w:r>
        <w:t>и, чтобы не допускать застаивания воды и скатывания контейнера.</w:t>
      </w:r>
    </w:p>
    <w:p w:rsidR="00000000" w:rsidRDefault="00F36ADD">
      <w:pPr>
        <w:ind w:firstLine="426"/>
        <w:jc w:val="both"/>
      </w:pPr>
      <w:r>
        <w:t>4.12.33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1,0-1,2 м.</w:t>
      </w:r>
    </w:p>
    <w:p w:rsidR="00000000" w:rsidRDefault="00F36ADD">
      <w:pPr>
        <w:ind w:firstLine="426"/>
        <w:jc w:val="both"/>
      </w:pPr>
      <w:r>
        <w:t>4.12.34 О</w:t>
      </w:r>
      <w:r>
        <w:t>светительное оборудование должно функционировать в режиме освещения прилегающей территории, высота опор - не менее 3 м.</w:t>
      </w:r>
    </w:p>
    <w:p w:rsidR="00000000" w:rsidRDefault="00F36ADD">
      <w:pPr>
        <w:ind w:firstLine="426"/>
        <w:jc w:val="both"/>
      </w:pPr>
      <w:r>
        <w:t>4.12.35 Озеленение следует производить деревьями с высокой степенью фитонцидности, густой и плотной кроной, предусматривая высоту свобод</w:t>
      </w:r>
      <w:r>
        <w:t>ного пространства над уровнем покрытия площадки до кроны не менее 3,0 м. Допускается для визуальной изоляции применение трельяжей или периметральной живой изгороди в виде высоких кустарников без плодов и ягод или с несъедобными плодами.</w:t>
      </w:r>
    </w:p>
    <w:p w:rsidR="00000000" w:rsidRDefault="00F36ADD">
      <w:pPr>
        <w:ind w:firstLine="426"/>
        <w:jc w:val="both"/>
      </w:pPr>
      <w:r>
        <w:t>4.12.36</w:t>
      </w:r>
      <w:r>
        <w:rPr>
          <w:i/>
          <w:iCs/>
        </w:rPr>
        <w:t xml:space="preserve"> </w:t>
      </w:r>
      <w:r>
        <w:t>Площадки дл</w:t>
      </w:r>
      <w:r>
        <w:t>я выгула собак следует размещать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1-го класса, под линиями электропередачи с напряжением не б</w:t>
      </w:r>
      <w:r>
        <w:t>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w:t>
      </w:r>
    </w:p>
    <w:p w:rsidR="00000000" w:rsidRDefault="00F36ADD">
      <w:pPr>
        <w:ind w:firstLine="426"/>
        <w:jc w:val="both"/>
      </w:pPr>
      <w:r>
        <w:t xml:space="preserve">4.12.37 Перечень элементов </w:t>
      </w:r>
      <w:r>
        <w:t>комплексного благоустройства на территории площадки для выгула собак, как правило,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периметра</w:t>
      </w:r>
      <w:r>
        <w:t>льное озеленение.</w:t>
      </w:r>
    </w:p>
    <w:p w:rsidR="00000000" w:rsidRDefault="00F36ADD">
      <w:pPr>
        <w:ind w:firstLine="426"/>
        <w:jc w:val="both"/>
      </w:pPr>
      <w:r>
        <w:t>4.12.38 Размеры площадок для выгула собак, размещаемых на территориях жилого назначения, рекомендуется принимать 400-600 кв. м, на прочих территориях - до 800 кв. м, в условиях сложившейся застройки допускается принимать уменьшенный разме</w:t>
      </w:r>
      <w:r>
        <w:t xml:space="preserve">р </w:t>
      </w:r>
      <w:r>
        <w:lastRenderedPageBreak/>
        <w:t>площадок исходя из имеющихся территориальных возможностей. Доступность площадок следует обеспечивать не более 400 м. На территории ЦАО и микрорайонов с плотной жилой застройкой - не более 600 м. Расстояние от границы площадки до окон жилых и общественных</w:t>
      </w:r>
      <w:r>
        <w:t xml:space="preserve"> зданий следует принимать не менее 25 м, а от участков детских учреждений, школ, детских, спортивных площадок, площадок отдыха - не менее 40 м.</w:t>
      </w:r>
    </w:p>
    <w:p w:rsidR="00000000" w:rsidRDefault="00F36ADD">
      <w:pPr>
        <w:ind w:firstLine="426"/>
        <w:jc w:val="both"/>
      </w:pPr>
      <w:r>
        <w:t>4.12.39 Как правило, перечень элементов комплексного благоустройства на территории площадки для выгула собак вкл</w:t>
      </w:r>
      <w:r>
        <w:t>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периметральное озеленение.</w:t>
      </w:r>
    </w:p>
    <w:p w:rsidR="00000000" w:rsidRDefault="00F36ADD">
      <w:pPr>
        <w:ind w:firstLine="426"/>
        <w:jc w:val="both"/>
      </w:pPr>
      <w:r>
        <w:t>4.12.40 Покрытие поверхности части площадки, предназначенной для выг</w:t>
      </w:r>
      <w:r>
        <w:t>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w:t>
      </w:r>
      <w:r>
        <w:t xml:space="preserve">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000000" w:rsidRDefault="00F36ADD">
      <w:pPr>
        <w:ind w:firstLine="426"/>
        <w:jc w:val="both"/>
      </w:pPr>
      <w:r>
        <w:t>4.12.41 Ограждение площадки, как правило, следует выполнять из л</w:t>
      </w:r>
      <w:r>
        <w:t>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000000" w:rsidRDefault="00F36ADD">
      <w:pPr>
        <w:ind w:firstLine="426"/>
        <w:jc w:val="both"/>
      </w:pPr>
      <w:r>
        <w:t>4.12.42 На территории площадки должен быть предусмотрен информационный стенд с правилами пользования площадкой.</w:t>
      </w:r>
    </w:p>
    <w:p w:rsidR="00000000" w:rsidRDefault="00F36ADD">
      <w:pPr>
        <w:ind w:firstLine="426"/>
        <w:jc w:val="both"/>
      </w:pPr>
      <w:r>
        <w:t>4.12.43 Озеленение рекомендуется проектировать из периметральных плотных посадок высокого кустарника в виде живой изгороди или вертикального озе</w:t>
      </w:r>
      <w:r>
        <w:t>ленения.</w:t>
      </w:r>
    </w:p>
    <w:p w:rsidR="00000000" w:rsidRDefault="00F36ADD">
      <w:pPr>
        <w:ind w:firstLine="426"/>
        <w:jc w:val="both"/>
      </w:pPr>
      <w:r>
        <w:t xml:space="preserve">4.12.44 Площадки для дрессировки собак следует предусматривать в каждом административном округе города (1-2 площадки). Они должны быть удалены от застройки жилого и общественного назначения не менее чем на 50 м. Размещение площадки на территориях </w:t>
      </w:r>
      <w:r>
        <w:t>природного комплекса следует согласовывать с уполномоченными органами природопользования и охраны окружающей среды. Размер площадки следует принимать порядка 2000 кв. м.</w:t>
      </w:r>
    </w:p>
    <w:p w:rsidR="00000000" w:rsidRDefault="00F36ADD">
      <w:pPr>
        <w:ind w:firstLine="426"/>
        <w:jc w:val="both"/>
      </w:pPr>
      <w:r>
        <w:t>4.12.45 Перечень элементов комплексного благоустройства на площадке для дрессировки со</w:t>
      </w:r>
      <w:r>
        <w:t>бак, как правило, включает: «мягкие» или газонные виды покрытия, ограждение, скамьи и урны (не менее 2 на площадку), информационный стенд, осветительное оборудование, специальное тренировочное оборудование.</w:t>
      </w:r>
    </w:p>
    <w:p w:rsidR="00000000" w:rsidRDefault="00F36ADD">
      <w:pPr>
        <w:ind w:firstLine="426"/>
        <w:jc w:val="both"/>
      </w:pPr>
      <w:r>
        <w:t>4.12.46 Покрытие площадки должно иметь ровную пов</w:t>
      </w:r>
      <w:r>
        <w:t>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000000" w:rsidRDefault="00F36ADD">
      <w:pPr>
        <w:ind w:firstLine="426"/>
        <w:jc w:val="both"/>
      </w:pPr>
      <w:r>
        <w:t>4.12.47 Ограждение, как правило, должно быть представлено забором (металлическая с</w:t>
      </w:r>
      <w:r>
        <w:t>етка) высотой не менее 2,0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000000" w:rsidRDefault="00F36ADD">
      <w:pPr>
        <w:ind w:firstLine="426"/>
        <w:jc w:val="both"/>
      </w:pPr>
      <w:r>
        <w:t>4.12.48 Площадки для дрессировки собак должны быть оборудованы учебными, т</w:t>
      </w:r>
      <w:r>
        <w:t>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000000" w:rsidRDefault="00F36ADD">
      <w:pPr>
        <w:jc w:val="both"/>
      </w:pPr>
      <w:r>
        <w:rPr>
          <w:rStyle w:val="s3"/>
        </w:rPr>
        <w:t xml:space="preserve">Пункт 4.12.49 изложен в редакции </w:t>
      </w:r>
      <w:hyperlink r:id="rId121" w:anchor="sub_id=110" w:history="1">
        <w:r>
          <w:rPr>
            <w:rStyle w:val="a4"/>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122" w:anchor="sub_id=4124900" w:history="1">
        <w:r>
          <w:rPr>
            <w:rStyle w:val="a4"/>
            <w:i/>
            <w:iCs/>
            <w:color w:val="0000FF"/>
            <w:u w:val="single"/>
          </w:rPr>
          <w:t>см. стар. ред.</w:t>
        </w:r>
      </w:hyperlink>
      <w:r>
        <w:rPr>
          <w:rStyle w:val="s3"/>
        </w:rPr>
        <w:t>)</w:t>
      </w:r>
    </w:p>
    <w:p w:rsidR="00000000" w:rsidRDefault="00F36ADD">
      <w:pPr>
        <w:ind w:firstLine="426"/>
        <w:jc w:val="both"/>
      </w:pPr>
      <w:r>
        <w:t xml:space="preserve">4.12.49 Проектирование и расчет автостоянок следует вести с учетом </w:t>
      </w:r>
      <w:hyperlink r:id="rId123" w:history="1">
        <w:r>
          <w:rPr>
            <w:rStyle w:val="a4"/>
            <w:color w:val="0000FF"/>
            <w:u w:val="single"/>
          </w:rPr>
          <w:t>СН РК 3.03-05</w:t>
        </w:r>
      </w:hyperlink>
      <w:r>
        <w:t>. Расстояние от границ автостоянок до окон жилых и общественных зданий принимать</w:t>
      </w:r>
      <w:r>
        <w:t xml:space="preserve"> в соответствии с </w:t>
      </w:r>
      <w:hyperlink r:id="rId124" w:anchor="sub_id=2" w:history="1">
        <w:r>
          <w:rPr>
            <w:rStyle w:val="a4"/>
            <w:color w:val="0000FF"/>
            <w:u w:val="single"/>
          </w:rPr>
          <w:t>Приложением 2</w:t>
        </w:r>
      </w:hyperlink>
      <w:r>
        <w:t xml:space="preserve"> Санитарных правил.</w:t>
      </w:r>
    </w:p>
    <w:p w:rsidR="00000000" w:rsidRDefault="00F36ADD">
      <w:pPr>
        <w:ind w:firstLine="426"/>
        <w:jc w:val="both"/>
      </w:pPr>
      <w:r>
        <w:t xml:space="preserve">4.12.50 Проектирование и расчет автостоянок следует вести с учетом </w:t>
      </w:r>
      <w:hyperlink r:id="rId125" w:history="1">
        <w:r>
          <w:rPr>
            <w:rStyle w:val="a4"/>
            <w:color w:val="0000FF"/>
            <w:u w:val="single"/>
          </w:rPr>
          <w:t>МСН 2.02</w:t>
        </w:r>
      </w:hyperlink>
      <w:r>
        <w:t xml:space="preserve">. Расстояние от границ автостоянок до окон жилых и общественных зданий принимать в </w:t>
      </w:r>
      <w:r>
        <w:lastRenderedPageBreak/>
        <w:t xml:space="preserve">соответствии с </w:t>
      </w:r>
      <w:hyperlink r:id="rId126" w:anchor="sub_id=2" w:history="1">
        <w:r>
          <w:rPr>
            <w:rStyle w:val="a4"/>
            <w:color w:val="0000FF"/>
            <w:u w:val="single"/>
          </w:rPr>
          <w:t>приложением 2</w:t>
        </w:r>
      </w:hyperlink>
      <w:r>
        <w:t xml:space="preserve"> </w:t>
      </w:r>
      <w:r>
        <w:t>Санитарных правил «Санитарно-эпидемиологические требования по установлению санитарно-защитной зоны производственных объектов».</w:t>
      </w:r>
    </w:p>
    <w:p w:rsidR="00000000" w:rsidRDefault="00F36ADD">
      <w:pPr>
        <w:ind w:firstLine="426"/>
        <w:jc w:val="both"/>
      </w:pPr>
      <w:r>
        <w:t>На площадках приобъектных автостоянок долю мест для автомобилей инвалидов следует проектировать согласно СНиП РК 3.06.15, блокиро</w:t>
      </w:r>
      <w:r>
        <w:t>вать по два или более мест без объемных разделителей, а лишь с обозначением границы прохода при помощи ярко-желтой разметки.</w:t>
      </w:r>
    </w:p>
    <w:p w:rsidR="00000000" w:rsidRDefault="00F36ADD">
      <w:pPr>
        <w:ind w:firstLine="426"/>
        <w:jc w:val="both"/>
      </w:pPr>
      <w:r>
        <w:t>4.12.51 Не допускается проектировать размещение автостоянок в зоне остановок городского пассажирского транспорта, организацию заезд</w:t>
      </w:r>
      <w:r>
        <w:t>ов на автостоянки следует предусматривать не ближе 15 м от конца или начала посадочной площадки.</w:t>
      </w:r>
    </w:p>
    <w:p w:rsidR="00000000" w:rsidRDefault="00F36ADD">
      <w:pPr>
        <w:ind w:firstLine="426"/>
        <w:jc w:val="both"/>
      </w:pPr>
      <w:r>
        <w:t>4.12.52 Как правило, перечень элементов комплексного благоустройства на площадках автостоянок включает: твердые виды покрытия, элементы сопряжения поверхностей</w:t>
      </w:r>
      <w:r>
        <w:t>,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000000" w:rsidRDefault="00F36ADD">
      <w:pPr>
        <w:ind w:firstLine="426"/>
        <w:jc w:val="both"/>
      </w:pPr>
      <w:r>
        <w:t>4.12.53 Покрытие площадок следует проектировать анало</w:t>
      </w:r>
      <w:r>
        <w:t>гичным покрытию транспортных проездов.</w:t>
      </w:r>
    </w:p>
    <w:p w:rsidR="00000000" w:rsidRDefault="00F36ADD">
      <w:pPr>
        <w:ind w:firstLine="426"/>
        <w:jc w:val="both"/>
      </w:pPr>
      <w:r>
        <w:t xml:space="preserve">4.12.54 Сопряжение покрытия площадки с проездом должно выполняться в одном уровне без укладки бортового камня, с газоном - в соответствии с пунктом </w:t>
      </w:r>
      <w:hyperlink r:id="rId127" w:anchor="sub_id=40403" w:history="1">
        <w:r>
          <w:rPr>
            <w:rStyle w:val="a4"/>
            <w:color w:val="0000FF"/>
            <w:u w:val="single"/>
          </w:rPr>
          <w:t>4.4.3</w:t>
        </w:r>
      </w:hyperlink>
      <w:r>
        <w:t>.</w:t>
      </w:r>
    </w:p>
    <w:p w:rsidR="00000000" w:rsidRDefault="00F36ADD">
      <w:pPr>
        <w:ind w:firstLine="426"/>
        <w:jc w:val="both"/>
      </w:pPr>
      <w:r>
        <w:t>4.12.55 Разделительные элементы на площадках могут быть выполнены в виде разметки (белых полос), озелененных полос (газонов), контейнерного озеленения.</w:t>
      </w:r>
    </w:p>
    <w:p w:rsidR="00000000" w:rsidRDefault="00F36ADD">
      <w:pPr>
        <w:ind w:firstLine="426"/>
        <w:jc w:val="both"/>
      </w:pPr>
      <w:r>
        <w:rPr>
          <w:b/>
          <w:bCs/>
        </w:rPr>
        <w:t>4.13</w:t>
      </w:r>
      <w:r>
        <w:t xml:space="preserve"> </w:t>
      </w:r>
      <w:r>
        <w:rPr>
          <w:b/>
          <w:bCs/>
        </w:rPr>
        <w:t>Пешеходные коммуникации</w:t>
      </w:r>
    </w:p>
    <w:p w:rsidR="00000000" w:rsidRDefault="00F36ADD">
      <w:pPr>
        <w:ind w:firstLine="426"/>
        <w:jc w:val="both"/>
      </w:pPr>
      <w:r>
        <w:t>4.13.1 При проектировании пешеходных коммуникаций прод</w:t>
      </w:r>
      <w:r>
        <w:t>ольный уклон следует принимать не более 60‰, поперечный уклон (односкатный или двускатный): основной - 20‰, минимальный - 5‰, максимальный - 30‰. Уклоны пешеходных коммуникаций с учетом обеспечения передвижения инвалидных колясок не должны превышать: продо</w:t>
      </w:r>
      <w:r>
        <w:t>льный - 50‰, поперечный - не более 20‰. На пешеходных коммуникациях с уклонами 30-60‰ необходимо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w:t>
      </w:r>
      <w:r>
        <w:t xml:space="preserve"> следует предусматривать устройство лестниц и пандусов.</w:t>
      </w:r>
    </w:p>
    <w:p w:rsidR="00000000" w:rsidRDefault="00F36ADD">
      <w:pPr>
        <w:ind w:firstLine="426"/>
        <w:jc w:val="both"/>
      </w:pPr>
      <w:r>
        <w:t>4.13.2 В исторической части города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w:t>
      </w:r>
      <w:r>
        <w:t>аны памятников. На территориях природных комплексов 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w:t>
      </w:r>
    </w:p>
    <w:p w:rsidR="00000000" w:rsidRDefault="00F36ADD">
      <w:pPr>
        <w:ind w:firstLine="426"/>
        <w:jc w:val="both"/>
      </w:pPr>
      <w:r>
        <w:t>4.13.3 Трассировка основных пешеходн</w:t>
      </w:r>
      <w:r>
        <w:t>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w:t>
      </w:r>
      <w:r>
        <w:t>ения в соответствии с приложением К.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 градусов.</w:t>
      </w:r>
    </w:p>
    <w:p w:rsidR="00000000" w:rsidRDefault="00F36ADD">
      <w:pPr>
        <w:ind w:firstLine="426"/>
        <w:jc w:val="both"/>
      </w:pPr>
      <w:r>
        <w:t>4.13.4 Нас</w:t>
      </w:r>
      <w:r>
        <w:t>аждения, здания и устройства, расположенные вдоль основных пешеходных коммуникаций, или выступающие элементы зданий не должны сокращать ширину дорожек, а также высоту свободного пространства над уровнем покрытия дорожки более 2 м. При ширине основных пешех</w:t>
      </w:r>
      <w:r>
        <w:t>одных коммуникаций 1,5 м через каждые 30 м должны предусматриваться уширения (разъездные площадки) для обеспечения передвижения инвалидов в креслах - колясках во встречных направлениях.</w:t>
      </w:r>
    </w:p>
    <w:p w:rsidR="00000000" w:rsidRDefault="00F36ADD">
      <w:pPr>
        <w:ind w:firstLine="426"/>
        <w:jc w:val="both"/>
      </w:pPr>
      <w:r>
        <w:t>4.13.5 Общая ширина пешеходной коммуникации в случае размещения некапи</w:t>
      </w:r>
      <w:r>
        <w:t xml:space="preserve">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Ширина пешеходных коммуникаций </w:t>
      </w:r>
      <w:r>
        <w:lastRenderedPageBreak/>
        <w:t>на участках возможного встречного движения инвалидов на креслах - колясках не должна быть менее 1,8 м.</w:t>
      </w:r>
    </w:p>
    <w:p w:rsidR="00000000" w:rsidRDefault="00F36ADD">
      <w:pPr>
        <w:ind w:firstLine="426"/>
        <w:jc w:val="both"/>
      </w:pPr>
      <w:r>
        <w:t>4.13.6 Основные пешеходные коммуникации в составе объектов рекреации с рекреационной нагрузкой более 100 чел./га следует оборудовать площадками для устан</w:t>
      </w:r>
      <w:r>
        <w:t>овки скамей и урн, размещая их не реже чем через каждые 100 м. 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Длина площадки должна быть рассч</w:t>
      </w:r>
      <w:r>
        <w:t>итана на размещение, как минимум, одной скамьи, двух урн (малых контейнеров для мусора), а также места для инвалида - колясочника (свободное пространство шириной не менее 85 см рядом со скамьей).</w:t>
      </w:r>
    </w:p>
    <w:p w:rsidR="00000000" w:rsidRDefault="00F36ADD">
      <w:pPr>
        <w:ind w:firstLine="426"/>
        <w:jc w:val="both"/>
      </w:pPr>
      <w:r>
        <w:t>4.13.7 Перечень элементов комплексного благоустройства на те</w:t>
      </w:r>
      <w:r>
        <w:t>рритории основных пешеходных коммуникаций, как правило, включает: твердые виды покрытия, элементы сопряжения поверхностей, урны или малые контейнеры для мусора, осветительное оборудование.</w:t>
      </w:r>
    </w:p>
    <w:p w:rsidR="00000000" w:rsidRDefault="00F36ADD">
      <w:pPr>
        <w:ind w:firstLine="426"/>
        <w:jc w:val="both"/>
      </w:pPr>
      <w:r>
        <w:t>4.13.8 Покрытия и конструкции основных пешеходных коммуникаций долж</w:t>
      </w:r>
      <w:r>
        <w:t>ны предусматривать возможность их всесезонной эксплуатации, а при ширине 2,25 м и более - возможность эпизодического проезда специализированных транспортных средств. Рекомендуется предусматривать мощение плиткой. Проектирование ограждений пешеходных коммун</w:t>
      </w:r>
      <w:r>
        <w:t xml:space="preserve">икаций, расположенных на верхних бровках откосов и террас, следует производить согласно </w:t>
      </w:r>
      <w:hyperlink r:id="rId128" w:anchor="sub_id=40107" w:history="1">
        <w:r>
          <w:rPr>
            <w:rStyle w:val="a4"/>
            <w:color w:val="0000FF"/>
            <w:u w:val="single"/>
          </w:rPr>
          <w:t>4.1.7</w:t>
        </w:r>
      </w:hyperlink>
      <w:r>
        <w:t>.</w:t>
      </w:r>
    </w:p>
    <w:p w:rsidR="00000000" w:rsidRDefault="00F36ADD">
      <w:pPr>
        <w:ind w:firstLine="426"/>
        <w:jc w:val="both"/>
      </w:pPr>
      <w:r>
        <w:t>4.13.9 Допускается размещение некапитальных нестационарных сооружений.</w:t>
      </w:r>
    </w:p>
    <w:p w:rsidR="00000000" w:rsidRDefault="00F36ADD">
      <w:pPr>
        <w:ind w:firstLine="426"/>
        <w:jc w:val="both"/>
      </w:pPr>
      <w:r>
        <w:t>4.13.10</w:t>
      </w:r>
      <w:r>
        <w:t xml:space="preserve"> Второстепенные пешеходные коммуникации обеспечивают связь между застройкой и различными элементами благоустройства (площадками) в пределах участка территории, а также на территории объектов рекреации (сквер, бульвар, парк, лесопарк). Ширина второстепенных</w:t>
      </w:r>
      <w:r>
        <w:t xml:space="preserve"> пешеходных коммуникаций назначается порядка 1,0-1,5 м.</w:t>
      </w:r>
    </w:p>
    <w:p w:rsidR="00000000" w:rsidRDefault="00F36ADD">
      <w:pPr>
        <w:ind w:firstLine="426"/>
        <w:jc w:val="both"/>
      </w:pPr>
      <w:r>
        <w:t xml:space="preserve">4.13.11 Как правило, перечень элементов комплексного благоустройства на территории второстепенных пешеходных коммуникаций включает: различные виды покрытия, элементы сопряжения поверхности покрытия с </w:t>
      </w:r>
      <w:r>
        <w:t>прилегающими территориями. Рекомендуется размещение скамей.</w:t>
      </w:r>
    </w:p>
    <w:p w:rsidR="00000000" w:rsidRDefault="00F36ADD">
      <w:pPr>
        <w:ind w:firstLine="426"/>
        <w:jc w:val="both"/>
      </w:pPr>
      <w:r>
        <w:t>4.13.12 На дорожках скверов, бульваров, садов города следует предусматривать твердые виды покрытия. Рекомендуется мощение плиткой.</w:t>
      </w:r>
    </w:p>
    <w:p w:rsidR="00000000" w:rsidRDefault="00F36ADD">
      <w:pPr>
        <w:ind w:firstLine="426"/>
        <w:jc w:val="both"/>
      </w:pPr>
      <w:r>
        <w:t>4.13.13 На дорожках крупных рекреационных объектов (парков, лесопарков) следует предусматривать различные виды «мягкого» или комбинированных покрытий.</w:t>
      </w:r>
    </w:p>
    <w:p w:rsidR="00000000" w:rsidRDefault="00F36ADD">
      <w:pPr>
        <w:ind w:firstLine="426"/>
        <w:jc w:val="both"/>
      </w:pPr>
      <w:r>
        <w:rPr>
          <w:b/>
          <w:bCs/>
        </w:rPr>
        <w:t>4.14</w:t>
      </w:r>
      <w:r>
        <w:t xml:space="preserve"> </w:t>
      </w:r>
      <w:r>
        <w:rPr>
          <w:b/>
          <w:bCs/>
        </w:rPr>
        <w:t>Транспортные проезды</w:t>
      </w:r>
    </w:p>
    <w:p w:rsidR="00000000" w:rsidRDefault="00F36ADD">
      <w:pPr>
        <w:ind w:firstLine="426"/>
        <w:jc w:val="both"/>
      </w:pPr>
      <w:r>
        <w:t>4.14.14 Отдельным видом транспортных проездов являются велодорожки. Велодорожки</w:t>
      </w:r>
      <w:r>
        <w:t xml:space="preserve"> на рекреационных территориях рекомендуется проектировать с учетом </w:t>
      </w:r>
      <w:hyperlink r:id="rId129" w:anchor="sub_id=6" w:history="1">
        <w:r>
          <w:rPr>
            <w:rStyle w:val="a4"/>
            <w:color w:val="0000FF"/>
            <w:u w:val="single"/>
          </w:rPr>
          <w:t>таблицы Е.1</w:t>
        </w:r>
      </w:hyperlink>
      <w:r>
        <w:t>.</w:t>
      </w:r>
    </w:p>
    <w:p w:rsidR="00000000" w:rsidRDefault="00F36ADD">
      <w:pPr>
        <w:ind w:firstLine="426"/>
        <w:jc w:val="both"/>
      </w:pPr>
      <w:r>
        <w:t>4.14.15 Перечень элементов комплексного благоустройства велодорожек, как правило, включает: тверд</w:t>
      </w:r>
      <w:r>
        <w:t>ый тип покрытия, элементы сопряжения поверхности велодорожки с прилегающими территориями.</w:t>
      </w:r>
    </w:p>
    <w:p w:rsidR="00000000" w:rsidRDefault="00F36ADD">
      <w:pPr>
        <w:ind w:firstLine="426"/>
        <w:jc w:val="both"/>
      </w:pPr>
      <w:r>
        <w:t>4.14.16 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000000" w:rsidRDefault="00F36ADD">
      <w:pPr>
        <w:ind w:firstLine="426"/>
        <w:jc w:val="both"/>
      </w:pPr>
      <w:r>
        <w:t>4.14.17 На</w:t>
      </w:r>
      <w:r>
        <w:t>саждения вдоль дорожек не должны сокращать габариты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w:t>
      </w:r>
      <w:r>
        <w:t>живания.</w:t>
      </w:r>
    </w:p>
    <w:p w:rsidR="00000000" w:rsidRDefault="00F36ADD">
      <w:pPr>
        <w:ind w:firstLine="426"/>
        <w:jc w:val="both"/>
      </w:pPr>
      <w:r>
        <w:rPr>
          <w:b/>
          <w:bCs/>
        </w:rPr>
        <w:t> </w:t>
      </w:r>
    </w:p>
    <w:p w:rsidR="00000000" w:rsidRDefault="00F36ADD">
      <w:pPr>
        <w:ind w:firstLine="426"/>
        <w:jc w:val="both"/>
      </w:pPr>
      <w:r>
        <w:rPr>
          <w:b/>
          <w:bCs/>
        </w:rPr>
        <w:t> </w:t>
      </w:r>
    </w:p>
    <w:p w:rsidR="00000000" w:rsidRDefault="00F36ADD">
      <w:pPr>
        <w:jc w:val="center"/>
      </w:pPr>
      <w:r>
        <w:rPr>
          <w:rStyle w:val="s1"/>
        </w:rPr>
        <w:t xml:space="preserve">5. ПРОЕКТИРОВАНИЕ КОМПЛЕКСНОГО БЛАГОУСТРОЙСТВА </w:t>
      </w:r>
      <w:r>
        <w:rPr>
          <w:rStyle w:val="s1"/>
        </w:rPr>
        <w:br/>
        <w:t>НА ТЕРРИТОРИЯХ ОБЩЕСТВЕННОГО НАЗНАЧЕНИЯ</w:t>
      </w:r>
    </w:p>
    <w:p w:rsidR="00000000" w:rsidRDefault="00F36ADD">
      <w:pPr>
        <w:ind w:firstLine="426"/>
      </w:pPr>
      <w:r>
        <w:rPr>
          <w:b/>
          <w:bCs/>
        </w:rPr>
        <w:t> </w:t>
      </w:r>
    </w:p>
    <w:p w:rsidR="00000000" w:rsidRDefault="00F36ADD">
      <w:pPr>
        <w:ind w:firstLine="426"/>
        <w:jc w:val="both"/>
      </w:pPr>
      <w:r>
        <w:rPr>
          <w:b/>
          <w:bCs/>
        </w:rPr>
        <w:lastRenderedPageBreak/>
        <w:t>5.1 Общественные пространства</w:t>
      </w:r>
    </w:p>
    <w:p w:rsidR="00000000" w:rsidRDefault="00F36ADD">
      <w:pPr>
        <w:ind w:firstLine="426"/>
        <w:jc w:val="both"/>
      </w:pPr>
      <w:r>
        <w:t>5.1.1. Общественные пространства включают: пешеходные зоны и коммуникации, участки активно посещаемой общественной застройк</w:t>
      </w:r>
      <w:r>
        <w:t>и, участки озеленения.</w:t>
      </w:r>
    </w:p>
    <w:p w:rsidR="00000000" w:rsidRDefault="00F36ADD">
      <w:pPr>
        <w:ind w:firstLine="426"/>
        <w:jc w:val="both"/>
      </w:pPr>
      <w:r>
        <w:t>5.1.2 Пешеходные зоны могут формироваться на эспланадах, пешеходных улицах, пешеходных частях площадей. Участки общественной застройки городского значения, открытые для активного посещения (объекты торговли, культуры, искусства, обра</w:t>
      </w:r>
      <w:r>
        <w:t>зования), могут быть организованы с выделением приобъектной территории либо без нее - в этом случае здания и сооружения непосредственно примыкают к пешеходным зонам и коммуникациям города.</w:t>
      </w:r>
    </w:p>
    <w:p w:rsidR="00000000" w:rsidRDefault="00F36ADD">
      <w:pPr>
        <w:ind w:firstLine="426"/>
        <w:jc w:val="both"/>
      </w:pPr>
      <w:r>
        <w:t>5.1.3 Перечень элементов комплексного благоустройства на территории</w:t>
      </w:r>
      <w:r>
        <w:t xml:space="preserve"> пешеходных зон и коммуникаций, а также участков общественной застройки, как правило, включает: твердые виды покрытия в виде плиточного мощения, элементы сопряжения поверхностей, мобильные формы озеленения, скамьи, урны и малые контейнеры для мусора, уличн</w:t>
      </w:r>
      <w:r>
        <w:t>ое техническое оборудование, осветительное оборудование, оборудование архитектурно-декоративного освещения, носители городской информации.</w:t>
      </w:r>
    </w:p>
    <w:p w:rsidR="00000000" w:rsidRDefault="00F36ADD">
      <w:pPr>
        <w:ind w:firstLine="426"/>
        <w:jc w:val="both"/>
      </w:pPr>
      <w:r>
        <w:t>5.1.4 Рекомендуется размещение произведений декоративно - прикладного искусства, декоративных водных устройств.</w:t>
      </w:r>
    </w:p>
    <w:p w:rsidR="00000000" w:rsidRDefault="00F36ADD">
      <w:pPr>
        <w:ind w:firstLine="426"/>
        <w:jc w:val="both"/>
      </w:pPr>
      <w:r>
        <w:t>5.1.5</w:t>
      </w:r>
      <w:r>
        <w:t xml:space="preserve"> На территории пешеходных зон и коммуникаций допускается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000000" w:rsidRDefault="00F36ADD">
      <w:pPr>
        <w:ind w:firstLine="426"/>
        <w:jc w:val="both"/>
      </w:pPr>
      <w:r>
        <w:t>5.1.6 На территории уч</w:t>
      </w:r>
      <w:r>
        <w:t>астков общественной застройки допускается размещение ограждений, средств наружной рекламы, а также отсутствие стационарного озеленения при размещении участков в составе исторической, сложившейся застройки, общественных центров города.</w:t>
      </w:r>
    </w:p>
    <w:p w:rsidR="00000000" w:rsidRDefault="00F36ADD">
      <w:pPr>
        <w:ind w:firstLine="426"/>
        <w:jc w:val="both"/>
      </w:pPr>
      <w:r>
        <w:t>5.1.7 Участки озелене</w:t>
      </w:r>
      <w:r>
        <w:t>ния на территории общественных пространств населенного пункта следует проектировать в виде зеленых «островков»: цветников, газонов, одиночных, групповых, рядовых посадок, вертикального, многоярусного озеленения.</w:t>
      </w:r>
    </w:p>
    <w:p w:rsidR="00000000" w:rsidRDefault="00F36ADD">
      <w:pPr>
        <w:ind w:firstLine="426"/>
        <w:jc w:val="both"/>
      </w:pPr>
      <w:r>
        <w:t>5.1.8 Как правило, перечень элементов компле</w:t>
      </w:r>
      <w:r>
        <w:t xml:space="preserve">ксного благоустройства на территории участков озеленения включает: элементы сопряжения озелененного участка с прилегающими территориями (бортовой камень, подпорные стенки, др.), элементы защиты насаждений в мощении (специальные виды покрытия, приствольные </w:t>
      </w:r>
      <w:r>
        <w:t>ограждения, др.).</w:t>
      </w:r>
    </w:p>
    <w:p w:rsidR="00000000" w:rsidRDefault="00F36ADD">
      <w:pPr>
        <w:ind w:firstLine="426"/>
        <w:jc w:val="both"/>
      </w:pPr>
      <w:r>
        <w:t>5.1.9 Рекомендуется предусматривать элементы защиты участков озеленения (низкие металлические ограждения), оборудование архитектурно-декоративного освещения.</w:t>
      </w:r>
    </w:p>
    <w:p w:rsidR="00000000" w:rsidRDefault="00F36ADD">
      <w:pPr>
        <w:ind w:firstLine="426"/>
        <w:jc w:val="both"/>
      </w:pPr>
      <w:r>
        <w:rPr>
          <w:b/>
          <w:bCs/>
        </w:rPr>
        <w:t>5.2 Участки и специализированные зоны общественной застройки</w:t>
      </w:r>
    </w:p>
    <w:p w:rsidR="00000000" w:rsidRDefault="00F36ADD">
      <w:pPr>
        <w:ind w:firstLine="426"/>
        <w:jc w:val="both"/>
      </w:pPr>
      <w:r>
        <w:t>5.2.1 На территория</w:t>
      </w:r>
      <w:r>
        <w:t xml:space="preserve">х участков и специализированных зон общественной застройки допускается размещение ограждений, средств наружной рекламы, а также отсутствие стационарного озеленения при размещении участков в составе исторической, сложившейся застройки, общественных центров </w:t>
      </w:r>
      <w:r>
        <w:t>города.</w:t>
      </w:r>
    </w:p>
    <w:p w:rsidR="00000000" w:rsidRDefault="00F36ADD">
      <w:pPr>
        <w:ind w:firstLine="426"/>
        <w:jc w:val="both"/>
      </w:pPr>
      <w:r>
        <w:rPr>
          <w:b/>
          <w:bCs/>
        </w:rPr>
        <w:t> </w:t>
      </w:r>
    </w:p>
    <w:p w:rsidR="00000000" w:rsidRDefault="00F36ADD">
      <w:pPr>
        <w:ind w:firstLine="426"/>
        <w:jc w:val="both"/>
      </w:pPr>
      <w:r>
        <w:rPr>
          <w:b/>
          <w:bCs/>
        </w:rPr>
        <w:t> </w:t>
      </w:r>
    </w:p>
    <w:p w:rsidR="00000000" w:rsidRDefault="00F36ADD">
      <w:pPr>
        <w:jc w:val="center"/>
      </w:pPr>
      <w:r>
        <w:rPr>
          <w:rStyle w:val="s1"/>
        </w:rPr>
        <w:t xml:space="preserve">6. ПРОЕКТИРОВАНИЕ КОМПЛЕКСНОГО БЛАГОУСТРОЙСТВА </w:t>
      </w:r>
      <w:r>
        <w:rPr>
          <w:rStyle w:val="s1"/>
        </w:rPr>
        <w:br/>
        <w:t>НА ТЕРРИТОРИЯХ ЖИЛОГО НАЗНАЧЕНИЯ</w:t>
      </w:r>
    </w:p>
    <w:p w:rsidR="00000000" w:rsidRDefault="00F36ADD">
      <w:pPr>
        <w:ind w:firstLine="426"/>
      </w:pPr>
      <w:r>
        <w:rPr>
          <w:b/>
          <w:bCs/>
        </w:rPr>
        <w:t> </w:t>
      </w:r>
    </w:p>
    <w:p w:rsidR="00000000" w:rsidRDefault="00F36ADD">
      <w:pPr>
        <w:ind w:firstLine="426"/>
        <w:jc w:val="both"/>
      </w:pPr>
      <w:r>
        <w:rPr>
          <w:b/>
          <w:bCs/>
        </w:rPr>
        <w:t>6.1</w:t>
      </w:r>
      <w:r>
        <w:t xml:space="preserve"> </w:t>
      </w:r>
      <w:r>
        <w:rPr>
          <w:b/>
          <w:bCs/>
        </w:rPr>
        <w:t>Общественные пространства</w:t>
      </w:r>
    </w:p>
    <w:p w:rsidR="00000000" w:rsidRDefault="00F36ADD">
      <w:pPr>
        <w:jc w:val="both"/>
      </w:pPr>
      <w:r>
        <w:rPr>
          <w:rStyle w:val="s3"/>
        </w:rPr>
        <w:t xml:space="preserve">Пункт 6.1.1 изложен в редакции </w:t>
      </w:r>
      <w:hyperlink r:id="rId130" w:anchor="sub_id=110" w:history="1">
        <w:r>
          <w:rPr>
            <w:rStyle w:val="a4"/>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131" w:anchor="sub_id=6010100" w:history="1">
        <w:r>
          <w:rPr>
            <w:rStyle w:val="a4"/>
            <w:i/>
            <w:iCs/>
            <w:color w:val="0000FF"/>
            <w:u w:val="single"/>
          </w:rPr>
          <w:t>см. стар. ре</w:t>
        </w:r>
        <w:r>
          <w:rPr>
            <w:rStyle w:val="a4"/>
            <w:i/>
            <w:iCs/>
            <w:color w:val="0000FF"/>
            <w:u w:val="single"/>
          </w:rPr>
          <w:t>д.</w:t>
        </w:r>
      </w:hyperlink>
      <w:r>
        <w:rPr>
          <w:rStyle w:val="s3"/>
        </w:rPr>
        <w:t>)</w:t>
      </w:r>
    </w:p>
    <w:p w:rsidR="00000000" w:rsidRDefault="00F36ADD">
      <w:pPr>
        <w:ind w:firstLine="426"/>
        <w:jc w:val="both"/>
      </w:pPr>
      <w:r>
        <w:t>6.1.1 Участки объектов обслуживания на территориях жилого назначения, рекомендуется оборудовать площадками при входах. Для учреждений обслуживания с большим количеством посещений (торговые центры, поликлиники, отделений полиции) необходимо предусматрив</w:t>
      </w:r>
      <w:r>
        <w:t>ать устройство приобъектных автостоянок (</w:t>
      </w:r>
      <w:hyperlink r:id="rId132" w:history="1">
        <w:r>
          <w:rPr>
            <w:rStyle w:val="a4"/>
            <w:color w:val="0000FF"/>
            <w:u w:val="single"/>
          </w:rPr>
          <w:t>СН РК 3.02-07</w:t>
        </w:r>
      </w:hyperlink>
      <w:r>
        <w:t xml:space="preserve">). На участках отделений полиции, пожарных депо, подстанций скорой помощи, рынков, </w:t>
      </w:r>
      <w:r>
        <w:lastRenderedPageBreak/>
        <w:t>объектов городского значения, расположенных на террито</w:t>
      </w:r>
      <w:r>
        <w:t>риях жилого назначения, допускается предусматривать различные по высоте ограждения.</w:t>
      </w:r>
    </w:p>
    <w:p w:rsidR="00000000" w:rsidRDefault="00F36ADD">
      <w:pPr>
        <w:ind w:firstLine="426"/>
        <w:jc w:val="both"/>
      </w:pPr>
      <w:r>
        <w:t>6.1.2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000000" w:rsidRDefault="00F36ADD">
      <w:pPr>
        <w:ind w:firstLine="426"/>
        <w:jc w:val="both"/>
      </w:pPr>
      <w:r>
        <w:t>6</w:t>
      </w:r>
      <w:r>
        <w:t>.1.3 Допускается размещение средств наружной рекламы, некапитальных нестационарных сооружений.</w:t>
      </w:r>
    </w:p>
    <w:p w:rsidR="00000000" w:rsidRDefault="00F36ADD">
      <w:pPr>
        <w:ind w:firstLine="426"/>
        <w:jc w:val="both"/>
      </w:pPr>
      <w:r>
        <w:t>6.1.4 Озелененные территории общего пользования группы, микрорайона, жилого района формируются в виде единой системы, которая включает: участки зеленых насаждени</w:t>
      </w:r>
      <w:r>
        <w:t>й вдоль пешеходных и транспортных коммуникаций (газоны, рядовые посадки деревьев и кустарников), озелененные площадки вне участков жилой застройки (отдыха, игр детей, спортивные, спортивно-игровые и др.), объекты рекреации (скверы, бульвары, сады микрорайо</w:t>
      </w:r>
      <w:r>
        <w:t>на, парки жилого района).</w:t>
      </w:r>
    </w:p>
    <w:p w:rsidR="00000000" w:rsidRDefault="00F36ADD">
      <w:pPr>
        <w:ind w:firstLine="426"/>
        <w:jc w:val="both"/>
      </w:pPr>
      <w:r>
        <w:rPr>
          <w:b/>
          <w:bCs/>
        </w:rPr>
        <w:t>6.2</w:t>
      </w:r>
      <w:r>
        <w:t xml:space="preserve"> </w:t>
      </w:r>
      <w:r>
        <w:rPr>
          <w:b/>
          <w:bCs/>
        </w:rPr>
        <w:t>Участки жилой застройки</w:t>
      </w:r>
    </w:p>
    <w:p w:rsidR="00000000" w:rsidRDefault="00F36ADD">
      <w:pPr>
        <w:ind w:firstLine="426"/>
        <w:jc w:val="both"/>
      </w:pPr>
      <w:r>
        <w:t>6.2.1 На территории участка жилой застройки с коллективным пользованием придомовой территорией (многоквартирная многоэтажная застройка) следует предусматривать: транспортный проезд (проезды), пешеходные</w:t>
      </w:r>
      <w:r>
        <w:t xml:space="preserve">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Если размеры территории участка позволяют, рекомендуетс</w:t>
      </w:r>
      <w:r>
        <w:t>я размещение спортивных площадок и площадок для игр детей школьного возраста, площадок для выгула собак.</w:t>
      </w:r>
    </w:p>
    <w:p w:rsidR="00000000" w:rsidRDefault="00F36ADD">
      <w:pPr>
        <w:ind w:firstLine="426"/>
        <w:jc w:val="both"/>
      </w:pPr>
      <w:r>
        <w:t>6.2.2 Как правило, перечень элементов комплексного благоустройства на территории участка жилой застройки коллективного пользования включает: твердые ви</w:t>
      </w:r>
      <w:r>
        <w:t>ды покрытия проезда, основные пешеходные коммуникации, площадки (отдыха, детских игр, установки мусоросборников) и их оборудование, элементы сопряжения поверхностей, озеленение, осветительное оборудование.</w:t>
      </w:r>
    </w:p>
    <w:p w:rsidR="00000000" w:rsidRDefault="00F36ADD">
      <w:pPr>
        <w:ind w:firstLine="426"/>
        <w:jc w:val="both"/>
      </w:pPr>
      <w:r>
        <w:t>6.2.3 Озеленение жилого участка следует формироват</w:t>
      </w:r>
      <w:r>
        <w:t>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w:t>
      </w:r>
      <w:r>
        <w:t>ной территории участка - свободные композиции и разнообразные приемы озеленения.</w:t>
      </w:r>
    </w:p>
    <w:p w:rsidR="00000000" w:rsidRDefault="00F36ADD">
      <w:pPr>
        <w:ind w:firstLine="426"/>
        <w:jc w:val="both"/>
      </w:pPr>
      <w:r>
        <w:t>6.2.4 Допускается ограждение участка жилой застройки, если оно не противоречит условиям размещения жилых участков вдоль магистральных улиц.</w:t>
      </w:r>
    </w:p>
    <w:p w:rsidR="00000000" w:rsidRDefault="00F36ADD">
      <w:pPr>
        <w:ind w:firstLine="426"/>
        <w:jc w:val="both"/>
      </w:pPr>
      <w:r>
        <w:t>6.2.5 На территории участка жилой з</w:t>
      </w:r>
      <w:r>
        <w:t xml:space="preserve">астройки с индивидуальным пользованием придомовой территорией (одноквартирный дом или квартира блокированного дома), как правило, следует предусматривать: пешеходные дорожки, площадку перед входом, озелененные территории. Проезд следует предусматривать на </w:t>
      </w:r>
      <w:r>
        <w:t>участке 0,5 га и более.</w:t>
      </w:r>
    </w:p>
    <w:p w:rsidR="00000000" w:rsidRDefault="00F36ADD">
      <w:pPr>
        <w:ind w:firstLine="426"/>
        <w:jc w:val="both"/>
      </w:pPr>
      <w:r>
        <w:t>6.2.6 Рекомендуется применение декоративных видов зеленых насаждений.</w:t>
      </w:r>
    </w:p>
    <w:p w:rsidR="00000000" w:rsidRDefault="00F36ADD">
      <w:pPr>
        <w:ind w:firstLine="426"/>
        <w:jc w:val="both"/>
      </w:pPr>
      <w:r>
        <w:t>6.2.7 Допускается проектировать ограждение как отдельных участков, так и территории коттеджной застройки в целом. Виды ограждений должны быть проницаемы для взгля</w:t>
      </w:r>
      <w:r>
        <w:t>да, иметь высоту не более 2,5 м.</w:t>
      </w:r>
    </w:p>
    <w:p w:rsidR="00000000" w:rsidRDefault="00F36ADD">
      <w:pPr>
        <w:ind w:firstLine="426"/>
        <w:jc w:val="both"/>
      </w:pPr>
      <w:r>
        <w:t>6.2.8 Комплексное благоустройство жилых участков, расположенных в особых градостроительных условиях, необходимо проектировать в соответствии с этими условиями.</w:t>
      </w:r>
    </w:p>
    <w:p w:rsidR="00000000" w:rsidRDefault="00F36ADD">
      <w:pPr>
        <w:ind w:firstLine="426"/>
        <w:jc w:val="both"/>
      </w:pPr>
      <w:r>
        <w:t>6.2.9 На территориях охранных зон памятников и исторических мор</w:t>
      </w:r>
      <w:r>
        <w:t>фотипов застройки проектирование комплексного благоустройства следует вести в соответствии с режимами зон охраны и типологическими характеристиками застройки.</w:t>
      </w:r>
    </w:p>
    <w:p w:rsidR="00000000" w:rsidRDefault="00F36ADD">
      <w:pPr>
        <w:ind w:firstLine="426"/>
        <w:jc w:val="both"/>
      </w:pPr>
      <w:r>
        <w:t>6.2.10 На жилых участках с плотностью застройки более 20 тыс. кв. м/га рекомендуется применять ко</w:t>
      </w:r>
      <w:r>
        <w:t>мпенсирующие приемы благоустройства, при которых нормативные показатели территории участка обеспечиваются за счет:</w:t>
      </w:r>
    </w:p>
    <w:p w:rsidR="00000000" w:rsidRDefault="00F36ADD">
      <w:pPr>
        <w:ind w:firstLine="426"/>
        <w:jc w:val="both"/>
      </w:pPr>
      <w:r>
        <w:lastRenderedPageBreak/>
        <w:t>- перемещения ряда функций, обычно реализуемых на территории участка жилой застройки (отдых взрослых, спортивные и детские игры, гостевые сто</w:t>
      </w:r>
      <w:r>
        <w:t>янки), и элементов благоустройства (озеленение и др.) в состав жилой застройки;</w:t>
      </w:r>
    </w:p>
    <w:p w:rsidR="00000000" w:rsidRDefault="00F36ADD">
      <w:pPr>
        <w:ind w:firstLine="426"/>
        <w:jc w:val="both"/>
      </w:pPr>
      <w: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w:t>
      </w:r>
      <w:r>
        <w:t>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000000" w:rsidRDefault="00F36ADD">
      <w:pPr>
        <w:ind w:firstLine="426"/>
        <w:jc w:val="both"/>
      </w:pPr>
      <w:r>
        <w:t>6.2.11 На реко</w:t>
      </w:r>
      <w:r>
        <w:t>нструируемых территориях участков жилой застройки следует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w:t>
      </w:r>
      <w:r>
        <w:t xml:space="preserve"> «ракушка»), рекомендуется выполнять замену морально и физически устаревших элементов благоустройства.</w:t>
      </w:r>
    </w:p>
    <w:p w:rsidR="00000000" w:rsidRDefault="00F36ADD">
      <w:pPr>
        <w:ind w:firstLine="426"/>
        <w:jc w:val="both"/>
      </w:pPr>
      <w:r>
        <w:rPr>
          <w:b/>
          <w:bCs/>
        </w:rPr>
        <w:t>6.3</w:t>
      </w:r>
      <w:r>
        <w:t xml:space="preserve"> </w:t>
      </w:r>
      <w:r>
        <w:rPr>
          <w:b/>
          <w:bCs/>
        </w:rPr>
        <w:t>Участки детских садов и школ</w:t>
      </w:r>
    </w:p>
    <w:p w:rsidR="00000000" w:rsidRDefault="00F36ADD">
      <w:pPr>
        <w:ind w:firstLine="426"/>
        <w:jc w:val="both"/>
      </w:pPr>
      <w:r>
        <w:t>6.3.1 В качестве твердых видов покрытий рекомендуется применение цементобетона и плиточного мощения.</w:t>
      </w:r>
    </w:p>
    <w:p w:rsidR="00000000" w:rsidRDefault="00F36ADD">
      <w:pPr>
        <w:ind w:firstLine="426"/>
        <w:jc w:val="both"/>
      </w:pPr>
      <w:r>
        <w:t>6.3.2 При озеленении территорий детских садов и школ не допускается применение растений с ядовитыми плодами.</w:t>
      </w:r>
    </w:p>
    <w:p w:rsidR="00000000" w:rsidRDefault="00F36ADD">
      <w:pPr>
        <w:ind w:firstLine="426"/>
        <w:jc w:val="both"/>
      </w:pPr>
      <w:r>
        <w:t>6.3.3 При проектировании инженерных коммуникаций квартала не допускается их трассировка через территорию детского сада и школы, уже существующие се</w:t>
      </w:r>
      <w:r>
        <w:t>ти при реконструкции территории квартала должны быть переложены. Собственные инженерные сети детского сада и школы должны проектироваться по кратчайшим расстояниям от подводящих инженерных сетей до здания, исключая прохождение под игровыми и спортивными пл</w:t>
      </w:r>
      <w:r>
        <w:t>ощадками (рекомендуется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должны быть огорожены или выделены предупреждающими об опа</w:t>
      </w:r>
      <w:r>
        <w:t>сности знаками.</w:t>
      </w:r>
    </w:p>
    <w:p w:rsidR="00000000" w:rsidRDefault="00F36ADD">
      <w:pPr>
        <w:ind w:firstLine="426"/>
        <w:jc w:val="both"/>
      </w:pPr>
      <w:r>
        <w:t>6.3.4 Плоская кровля зданий детских садов и школ в случае их размещения в окружении многоэтажной жилой застройки должна иметь привлекательный внешний вид.</w:t>
      </w:r>
    </w:p>
    <w:p w:rsidR="00000000" w:rsidRDefault="00F36ADD">
      <w:pPr>
        <w:ind w:firstLine="426"/>
        <w:jc w:val="both"/>
      </w:pPr>
      <w:r>
        <w:rPr>
          <w:b/>
          <w:bCs/>
        </w:rPr>
        <w:t>6.4</w:t>
      </w:r>
      <w:r>
        <w:t xml:space="preserve"> </w:t>
      </w:r>
      <w:r>
        <w:rPr>
          <w:b/>
          <w:bCs/>
        </w:rPr>
        <w:t>Участок гаража-стоянки</w:t>
      </w:r>
    </w:p>
    <w:p w:rsidR="00000000" w:rsidRDefault="00F36ADD">
      <w:pPr>
        <w:ind w:firstLine="426"/>
        <w:jc w:val="both"/>
      </w:pPr>
      <w:r>
        <w:t>6.4.1 Рекомендуется предусматривать на участке гаража-стоя</w:t>
      </w:r>
      <w:r>
        <w:t>нки: сооружение гаража-стоянки, площадку (накопительную), выезды и въезды, пешеходные дорожки. Участки гаражей-стоянок, как правило, изолируются от остальной территории полосой зеленых насаждений шириной не менее 3 м.</w:t>
      </w:r>
    </w:p>
    <w:p w:rsidR="00000000" w:rsidRDefault="00F36ADD">
      <w:pPr>
        <w:ind w:firstLine="426"/>
        <w:jc w:val="both"/>
      </w:pPr>
      <w:r>
        <w:t>Въезды и выезды должны иметь закругления бортов тротуаров и газонов радиусом не менее 8 м.</w:t>
      </w:r>
    </w:p>
    <w:p w:rsidR="00000000" w:rsidRDefault="00F36ADD">
      <w:pPr>
        <w:ind w:firstLine="426"/>
        <w:jc w:val="both"/>
      </w:pPr>
      <w:r>
        <w:t>6.4.2 На пешеходных дорожках следует предусматривать съезд - бордюрный пандус - на уровень проезда (не менее одного на участок).</w:t>
      </w:r>
    </w:p>
    <w:p w:rsidR="00000000" w:rsidRDefault="00F36ADD">
      <w:pPr>
        <w:ind w:firstLine="426"/>
        <w:jc w:val="both"/>
      </w:pPr>
      <w:r>
        <w:t>6.4.3 Рекомендуется формировать поса</w:t>
      </w:r>
      <w:r>
        <w:t>дки густого высокорастущего кустарника с высокой степенью фитонцидности и посадки деревьев вдоль границ участка.</w:t>
      </w:r>
    </w:p>
    <w:p w:rsidR="00000000" w:rsidRDefault="00F36ADD">
      <w:pPr>
        <w:ind w:firstLine="426"/>
        <w:jc w:val="both"/>
      </w:pPr>
      <w:r>
        <w:t>6.4.4 Плоская кровля здания гаража-стоянки в случае его размещения в окружении многоэтажной жилой и общественной застройки должна иметь привлек</w:t>
      </w:r>
      <w:r>
        <w:t>ательный внешний вид.</w:t>
      </w:r>
    </w:p>
    <w:p w:rsidR="00000000" w:rsidRDefault="00F36ADD">
      <w:pPr>
        <w:ind w:firstLine="426"/>
        <w:jc w:val="both"/>
      </w:pPr>
      <w:r>
        <w:t>6.4.5 Комплексное благоустройство участка территории, предназначенного для хранения автомобилей в некапитальных нестационарных гаражных сооружениях, должно быть представлено твердым видом покрытия дорожек и проездов, осветительным обо</w:t>
      </w:r>
      <w:r>
        <w:t>рудованием.</w:t>
      </w:r>
    </w:p>
    <w:p w:rsidR="00000000" w:rsidRDefault="00F36ADD">
      <w:pPr>
        <w:ind w:firstLine="426"/>
        <w:jc w:val="both"/>
      </w:pPr>
      <w:r>
        <w:t>Гаражные сооружения или отсеки должны быть унифицированы.</w:t>
      </w:r>
    </w:p>
    <w:p w:rsidR="00000000" w:rsidRDefault="00F36ADD">
      <w:pPr>
        <w:ind w:firstLine="426"/>
        <w:jc w:val="both"/>
      </w:pPr>
      <w:r>
        <w:t>Рекомендуется предусматривать озеленение, допускается размещение ограждения.</w:t>
      </w:r>
    </w:p>
    <w:p w:rsidR="00000000" w:rsidRDefault="00F36ADD">
      <w:pPr>
        <w:ind w:firstLine="426"/>
        <w:jc w:val="both"/>
      </w:pPr>
      <w:r>
        <w:rPr>
          <w:b/>
          <w:bCs/>
        </w:rPr>
        <w:t> </w:t>
      </w:r>
    </w:p>
    <w:p w:rsidR="00000000" w:rsidRDefault="00F36ADD">
      <w:pPr>
        <w:ind w:firstLine="426"/>
        <w:jc w:val="both"/>
      </w:pPr>
      <w:r>
        <w:rPr>
          <w:b/>
          <w:bCs/>
        </w:rPr>
        <w:t> </w:t>
      </w:r>
    </w:p>
    <w:p w:rsidR="00000000" w:rsidRDefault="00F36ADD">
      <w:pPr>
        <w:jc w:val="center"/>
      </w:pPr>
      <w:r>
        <w:rPr>
          <w:rStyle w:val="s1"/>
        </w:rPr>
        <w:lastRenderedPageBreak/>
        <w:t xml:space="preserve">7. ПРОЕКТИРОВАНИЕ КОМПЛЕКСНОГО БЛАГОУСТРОЙСТВА </w:t>
      </w:r>
      <w:r>
        <w:rPr>
          <w:rStyle w:val="s1"/>
        </w:rPr>
        <w:br/>
        <w:t>НА ТЕРРИТОРИЯХ РЕКРЕАЦИОННОГО НАЗНАЧЕНИЯ</w:t>
      </w:r>
    </w:p>
    <w:p w:rsidR="00000000" w:rsidRDefault="00F36ADD">
      <w:pPr>
        <w:ind w:firstLine="426"/>
      </w:pPr>
      <w:r>
        <w:rPr>
          <w:b/>
          <w:bCs/>
        </w:rPr>
        <w:t> </w:t>
      </w:r>
    </w:p>
    <w:p w:rsidR="00000000" w:rsidRDefault="00F36ADD">
      <w:pPr>
        <w:ind w:firstLine="426"/>
        <w:jc w:val="both"/>
      </w:pPr>
      <w:r>
        <w:rPr>
          <w:b/>
          <w:bCs/>
        </w:rPr>
        <w:t>7.1 Общие поло</w:t>
      </w:r>
      <w:r>
        <w:rPr>
          <w:b/>
          <w:bCs/>
        </w:rPr>
        <w:t>жения</w:t>
      </w:r>
    </w:p>
    <w:p w:rsidR="00000000" w:rsidRDefault="00F36ADD">
      <w:pPr>
        <w:ind w:firstLine="426"/>
        <w:jc w:val="both"/>
      </w:pPr>
      <w:r>
        <w:t>7.1.1 Объектами проектирования комплексного благоустройства на территориях рекреационного назначения являются объекты рекреации - части территорий природного комплекса: зоны отдыха, парки, сады, бульвары, скверы. Приемы благоустройства и озеленения о</w:t>
      </w:r>
      <w:r>
        <w:t xml:space="preserve">бъектов рекреации приведены в </w:t>
      </w:r>
      <w:hyperlink r:id="rId133" w:anchor="sub_id=4" w:history="1">
        <w:r>
          <w:rPr>
            <w:rStyle w:val="a4"/>
            <w:color w:val="0000FF"/>
            <w:u w:val="single"/>
          </w:rPr>
          <w:t>приложении Г</w:t>
        </w:r>
      </w:hyperlink>
      <w:r>
        <w:t>.</w:t>
      </w:r>
    </w:p>
    <w:p w:rsidR="00000000" w:rsidRDefault="00F36ADD">
      <w:pPr>
        <w:ind w:firstLine="426"/>
        <w:jc w:val="both"/>
      </w:pPr>
      <w:r>
        <w:t>7.1.2 При реконструкции объектов рекреации следует предусматривать:</w:t>
      </w:r>
    </w:p>
    <w:p w:rsidR="00000000" w:rsidRDefault="00F36ADD">
      <w:pPr>
        <w:ind w:firstLine="426"/>
        <w:jc w:val="both"/>
      </w:pPr>
      <w:r>
        <w:t>- для лесопарков: создание экосистем, способных к устойчивому фун</w:t>
      </w:r>
      <w:r>
        <w:t>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000000" w:rsidRDefault="00F36ADD">
      <w:pPr>
        <w:ind w:firstLine="426"/>
        <w:jc w:val="both"/>
      </w:pPr>
      <w:r>
        <w:t>- для пар</w:t>
      </w:r>
      <w:r>
        <w:t xml:space="preserve">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w:t>
      </w:r>
      <w:r>
        <w:t>на декоративно-лиственные и красивоцветущие формы деревьев и кустарников, организация площадок отдыха, детских площадок;</w:t>
      </w:r>
    </w:p>
    <w:p w:rsidR="00000000" w:rsidRDefault="00F36ADD">
      <w:pPr>
        <w:ind w:firstLine="426"/>
        <w:jc w:val="both"/>
      </w:pPr>
      <w:r>
        <w:t>- для бульваров и скверов: формирование групп и куртин со сложной вертикальной структурой, удаление больных, старых и недекоративных де</w:t>
      </w:r>
      <w:r>
        <w:t>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000000" w:rsidRDefault="00F36ADD">
      <w:pPr>
        <w:ind w:firstLine="426"/>
        <w:jc w:val="both"/>
      </w:pPr>
      <w:r>
        <w:t>7.1.3 Проектир</w:t>
      </w:r>
      <w:r>
        <w:t>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000000" w:rsidRDefault="00F36ADD">
      <w:pPr>
        <w:ind w:firstLine="426"/>
        <w:jc w:val="both"/>
      </w:pPr>
      <w:r>
        <w:rPr>
          <w:b/>
          <w:bCs/>
        </w:rPr>
        <w:t>7.2</w:t>
      </w:r>
      <w:r>
        <w:t xml:space="preserve"> </w:t>
      </w:r>
      <w:r>
        <w:rPr>
          <w:b/>
          <w:bCs/>
        </w:rPr>
        <w:t>Зоны отдыха</w:t>
      </w:r>
    </w:p>
    <w:p w:rsidR="00000000" w:rsidRDefault="00F36ADD">
      <w:pPr>
        <w:ind w:firstLine="426"/>
        <w:jc w:val="both"/>
      </w:pPr>
      <w:r>
        <w:t>7.2.1 При проектировании зон отдыха</w:t>
      </w:r>
      <w:r>
        <w:t xml:space="preserve"> с площадью поверхности водоемов более 10 га длина береговой линии пляжа должна быть не более 1/20 части суммарной длины береговой линии водоема. Ориентировочная длина береговой линии пляжа в зависимости от количества купающихся для водоемов с площадью пов</w:t>
      </w:r>
      <w:r>
        <w:t>ерхности менее 10 га приведена в таблице 9. Расчетная величина пляжа составляет не менее 8 кв. м/чел.</w:t>
      </w:r>
    </w:p>
    <w:p w:rsidR="00000000" w:rsidRDefault="00F36ADD">
      <w:pPr>
        <w:ind w:firstLine="426"/>
        <w:jc w:val="both"/>
      </w:pPr>
      <w:r>
        <w:rPr>
          <w:b/>
          <w:bCs/>
        </w:rPr>
        <w:t> </w:t>
      </w:r>
    </w:p>
    <w:p w:rsidR="00000000" w:rsidRDefault="00F36ADD">
      <w:pPr>
        <w:jc w:val="center"/>
      </w:pPr>
      <w:r>
        <w:rPr>
          <w:rStyle w:val="s1"/>
        </w:rPr>
        <w:t>Таблица 9 - Ориентировочные параметры береговой линии пляжа зон отдыха</w:t>
      </w:r>
    </w:p>
    <w:p w:rsidR="00000000" w:rsidRDefault="00F36ADD">
      <w:pPr>
        <w:ind w:firstLine="426"/>
        <w:jc w:val="center"/>
      </w:pPr>
      <w:r>
        <w:t> </w:t>
      </w:r>
    </w:p>
    <w:tbl>
      <w:tblPr>
        <w:tblW w:w="0" w:type="auto"/>
        <w:tblInd w:w="-402" w:type="dxa"/>
        <w:tblCellMar>
          <w:left w:w="0" w:type="dxa"/>
          <w:right w:w="0" w:type="dxa"/>
        </w:tblCellMar>
        <w:tblLook w:val="04A0" w:firstRow="1" w:lastRow="0" w:firstColumn="1" w:lastColumn="0" w:noHBand="0" w:noVBand="1"/>
      </w:tblPr>
      <w:tblGrid>
        <w:gridCol w:w="2184"/>
        <w:gridCol w:w="2720"/>
        <w:gridCol w:w="2431"/>
        <w:gridCol w:w="2402"/>
      </w:tblGrid>
      <w:tr w:rsidR="00000000">
        <w:trPr>
          <w:trHeight w:val="20"/>
        </w:trPr>
        <w:tc>
          <w:tcPr>
            <w:tcW w:w="238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Площадь водоема, га</w:t>
            </w:r>
          </w:p>
        </w:tc>
        <w:tc>
          <w:tcPr>
            <w:tcW w:w="286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Ориентировочная длина береговой линии пляжа, м</w:t>
            </w:r>
          </w:p>
        </w:tc>
        <w:tc>
          <w:tcPr>
            <w:tcW w:w="263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Площадь терр</w:t>
            </w:r>
            <w:r>
              <w:t>итории пляжа, га</w:t>
            </w:r>
          </w:p>
        </w:tc>
        <w:tc>
          <w:tcPr>
            <w:tcW w:w="255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Число купающихся одновременно</w:t>
            </w:r>
          </w:p>
        </w:tc>
      </w:tr>
      <w:tr w:rsidR="00000000">
        <w:trPr>
          <w:trHeight w:val="20"/>
        </w:trPr>
        <w:tc>
          <w:tcPr>
            <w:tcW w:w="238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60,0</w:t>
            </w:r>
          </w:p>
        </w:tc>
        <w:tc>
          <w:tcPr>
            <w:tcW w:w="2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0,20</w:t>
            </w:r>
          </w:p>
        </w:tc>
        <w:tc>
          <w:tcPr>
            <w:tcW w:w="25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240</w:t>
            </w:r>
          </w:p>
        </w:tc>
      </w:tr>
      <w:tr w:rsidR="00000000">
        <w:trPr>
          <w:trHeight w:val="20"/>
        </w:trPr>
        <w:tc>
          <w:tcPr>
            <w:tcW w:w="238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40,0</w:t>
            </w:r>
          </w:p>
        </w:tc>
        <w:tc>
          <w:tcPr>
            <w:tcW w:w="2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0,13</w:t>
            </w:r>
          </w:p>
        </w:tc>
        <w:tc>
          <w:tcPr>
            <w:tcW w:w="25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160</w:t>
            </w:r>
          </w:p>
        </w:tc>
      </w:tr>
      <w:tr w:rsidR="00000000">
        <w:trPr>
          <w:trHeight w:val="20"/>
        </w:trPr>
        <w:tc>
          <w:tcPr>
            <w:tcW w:w="238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30,0</w:t>
            </w:r>
          </w:p>
        </w:tc>
        <w:tc>
          <w:tcPr>
            <w:tcW w:w="26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0,10</w:t>
            </w:r>
          </w:p>
        </w:tc>
        <w:tc>
          <w:tcPr>
            <w:tcW w:w="25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w:t>
            </w:r>
          </w:p>
        </w:tc>
      </w:tr>
    </w:tbl>
    <w:p w:rsidR="00000000" w:rsidRDefault="00F36ADD">
      <w:pPr>
        <w:ind w:firstLine="426"/>
      </w:pPr>
      <w:r>
        <w:t> </w:t>
      </w:r>
    </w:p>
    <w:p w:rsidR="00000000" w:rsidRDefault="00F36ADD">
      <w:pPr>
        <w:ind w:firstLine="426"/>
        <w:jc w:val="both"/>
      </w:pPr>
      <w:r>
        <w:t>7.2.2 На территории зоны отдыха следует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w:t>
      </w:r>
      <w:r>
        <w:t xml:space="preserve"> в водоем). Медицинский пункт должен быть расположен рядом со спасательной станцией, иметь надпись «Медпункт» или изображение красного креста на белом фоне, а также место парковки санитарного транспорта с возможностью беспрепятственного подъезда машины ско</w:t>
      </w:r>
      <w:r>
        <w:t>рой помощи. Помещение медпункта должно быть площадью не менее 12 кв. м, иметь естественное и искусственное освещение, водопровод и туалет.</w:t>
      </w:r>
    </w:p>
    <w:p w:rsidR="00000000" w:rsidRDefault="00F36ADD">
      <w:pPr>
        <w:ind w:firstLine="426"/>
        <w:jc w:val="both"/>
      </w:pPr>
      <w:r>
        <w:lastRenderedPageBreak/>
        <w:t>7.2.3 Как правило, перечень элементов комплексного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w:t>
      </w:r>
      <w:r>
        <w:t>я мусора, оборудование пляжа (навесы от солнца, лежаки, кабинки для переодевания), туалетные кабины.</w:t>
      </w:r>
    </w:p>
    <w:p w:rsidR="00000000" w:rsidRDefault="00F36ADD">
      <w:pPr>
        <w:ind w:firstLine="426"/>
        <w:jc w:val="both"/>
      </w:pPr>
      <w:r>
        <w:t>7.2.4 При проектировании озеленения следует обеспечивать:</w:t>
      </w:r>
    </w:p>
    <w:p w:rsidR="00000000" w:rsidRDefault="00F36ADD">
      <w:pPr>
        <w:ind w:firstLine="426"/>
        <w:jc w:val="both"/>
      </w:pPr>
      <w:r>
        <w:t>- сохранение травяного покрова, древесно-кустарниковой и прибрежной растительности не менее чем н</w:t>
      </w:r>
      <w:r>
        <w:t>а 80% общей площади зоны отдыха;</w:t>
      </w:r>
    </w:p>
    <w:p w:rsidR="00000000" w:rsidRDefault="00F36ADD">
      <w:pPr>
        <w:ind w:firstLine="426"/>
        <w:jc w:val="both"/>
      </w:pPr>
      <w: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000000" w:rsidRDefault="00F36ADD">
      <w:pPr>
        <w:ind w:firstLine="426"/>
        <w:jc w:val="both"/>
      </w:pPr>
      <w:r>
        <w:t>- недопущение использования территории зоны отдыха для и</w:t>
      </w:r>
      <w:r>
        <w:t>ных целей (выгуливания собак, устройства игровых городков, аттракционов и т.п.).</w:t>
      </w:r>
    </w:p>
    <w:p w:rsidR="00000000" w:rsidRDefault="00F36ADD">
      <w:pPr>
        <w:ind w:firstLine="426"/>
        <w:jc w:val="both"/>
      </w:pPr>
      <w:r>
        <w:t>7.2.5 Допускается размещение ограждения, уличного технического оборудования (торговые тележки «Вода», «Мороженое»).</w:t>
      </w:r>
    </w:p>
    <w:p w:rsidR="00000000" w:rsidRDefault="00F36ADD">
      <w:pPr>
        <w:ind w:firstLine="426"/>
        <w:jc w:val="both"/>
      </w:pPr>
      <w:r>
        <w:t>7.2.6 Не допускается размещение выгребных туалетов.</w:t>
      </w:r>
    </w:p>
    <w:p w:rsidR="00000000" w:rsidRDefault="00F36ADD">
      <w:pPr>
        <w:ind w:firstLine="426"/>
        <w:jc w:val="both"/>
      </w:pPr>
      <w:r>
        <w:rPr>
          <w:b/>
          <w:bCs/>
        </w:rPr>
        <w:t>7.3</w:t>
      </w:r>
      <w:r>
        <w:t xml:space="preserve"> </w:t>
      </w:r>
      <w:r>
        <w:rPr>
          <w:b/>
          <w:bCs/>
        </w:rPr>
        <w:t>Пар</w:t>
      </w:r>
      <w:r>
        <w:rPr>
          <w:b/>
          <w:bCs/>
        </w:rPr>
        <w:t>ки</w:t>
      </w:r>
    </w:p>
    <w:p w:rsidR="00000000" w:rsidRDefault="00F36ADD">
      <w:pPr>
        <w:ind w:firstLine="426"/>
        <w:jc w:val="both"/>
      </w:pPr>
      <w:r>
        <w:t>7.3.1. На территории населенного пункта, как правило, предусматриваются следующие виды парков: многофункциональные, специализированные, парки жилых районов. На территории парка более 10 га рекомендуется предусматривать систему местных проездов для функц</w:t>
      </w:r>
      <w:r>
        <w:t>ионирования мини-транспорта, оборудованную остановочными павильонами (навес от дождя, скамья, урна, расписание движения транспорта).</w:t>
      </w:r>
    </w:p>
    <w:p w:rsidR="00000000" w:rsidRDefault="00F36ADD">
      <w:pPr>
        <w:ind w:firstLine="426"/>
        <w:jc w:val="both"/>
      </w:pPr>
      <w:r>
        <w:t>7.3.2 На территории многофункционального парка рекомендуется предусматривать: систему аллей, дорожек и площадок, парковые с</w:t>
      </w:r>
      <w:r>
        <w:t>ооружения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4.5, 4.6). Назначение и размеры площадок, вместимость парковых сооружен</w:t>
      </w:r>
      <w:r>
        <w:t xml:space="preserve">ий рекомендуется проектировать с учетом </w:t>
      </w:r>
      <w:hyperlink r:id="rId134" w:anchor="sub_id=4" w:history="1">
        <w:r>
          <w:rPr>
            <w:rStyle w:val="a4"/>
            <w:color w:val="0000FF"/>
            <w:u w:val="single"/>
          </w:rPr>
          <w:t>приложения Г</w:t>
        </w:r>
      </w:hyperlink>
      <w:r>
        <w:t>.</w:t>
      </w:r>
    </w:p>
    <w:p w:rsidR="00000000" w:rsidRDefault="00F36ADD">
      <w:pPr>
        <w:ind w:firstLine="426"/>
        <w:jc w:val="both"/>
      </w:pPr>
      <w:r>
        <w:t>7.3.3 Перечень элементов комплексного благоустройства на территории многофункционального парка, как правило, включает: твер</w:t>
      </w:r>
      <w:r>
        <w:t>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w:t>
      </w:r>
      <w:r>
        <w:t xml:space="preserve">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w:t>
      </w:r>
      <w:r>
        <w:t>ия, носители информации о зоне парка или о парке в целом.</w:t>
      </w:r>
    </w:p>
    <w:p w:rsidR="00000000" w:rsidRDefault="00F36ADD">
      <w:pPr>
        <w:ind w:firstLine="426"/>
        <w:jc w:val="both"/>
      </w:pPr>
      <w:r>
        <w:t>7.3.4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w:t>
      </w:r>
      <w:r>
        <w:t>ников, цветочного оформления, экзотических видов растений.</w:t>
      </w:r>
    </w:p>
    <w:p w:rsidR="00000000" w:rsidRDefault="00F36ADD">
      <w:pPr>
        <w:ind w:firstLine="426"/>
        <w:jc w:val="both"/>
      </w:pPr>
      <w:r>
        <w:t>7.3.5 Допускается размещение некапитальных нестационарных сооружений мелкорозничной торговли и питания, туалетных кабин.</w:t>
      </w:r>
    </w:p>
    <w:p w:rsidR="00000000" w:rsidRDefault="00F36ADD">
      <w:pPr>
        <w:ind w:firstLine="426"/>
        <w:jc w:val="both"/>
      </w:pPr>
      <w:r>
        <w:t>7.3.6 Специализированные парки города предназначены для организации специали</w:t>
      </w:r>
      <w:r>
        <w:t>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000000" w:rsidRDefault="00F36ADD">
      <w:pPr>
        <w:ind w:firstLine="426"/>
        <w:jc w:val="both"/>
      </w:pPr>
      <w:r>
        <w:t>7.3.7 Как правило, перечень элементов комплексного благоу</w:t>
      </w:r>
      <w:r>
        <w:t>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000000" w:rsidRDefault="00F36ADD">
      <w:pPr>
        <w:ind w:firstLine="426"/>
        <w:jc w:val="both"/>
      </w:pPr>
      <w:r>
        <w:lastRenderedPageBreak/>
        <w:t>7.3.8 На терр</w:t>
      </w:r>
      <w:r>
        <w:t xml:space="preserve">итории жилого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w:t>
      </w:r>
      <w:r>
        <w:t>комплексы.</w:t>
      </w:r>
    </w:p>
    <w:p w:rsidR="00000000" w:rsidRDefault="00F36ADD">
      <w:pPr>
        <w:ind w:firstLine="426"/>
        <w:jc w:val="both"/>
      </w:pPr>
      <w:r>
        <w:t>7.3.9 Перечень элементов комплексного благоустройства на территории парка жилого района, как правило, включает: твердые виды покрытия основных дорожек, элементы сопряжения поверхностей, озеленение, скамьи, урны и малые контейнеры для мусора, обо</w:t>
      </w:r>
      <w:r>
        <w:t>рудование площадок, осветительное оборудование.</w:t>
      </w:r>
    </w:p>
    <w:p w:rsidR="00000000" w:rsidRDefault="00F36ADD">
      <w:pPr>
        <w:ind w:firstLine="426"/>
        <w:jc w:val="both"/>
      </w:pPr>
      <w:r>
        <w:t>7.3.10 При озеленении парка жилого района рекомендуется предусматривать цветочное оформление, использование видов растений, характерных для данной климатической зоны.</w:t>
      </w:r>
    </w:p>
    <w:p w:rsidR="00000000" w:rsidRDefault="00F36ADD">
      <w:pPr>
        <w:ind w:firstLine="426"/>
        <w:jc w:val="both"/>
      </w:pPr>
      <w:r>
        <w:t>7.3.11 Допускается предусматривать огражд</w:t>
      </w:r>
      <w:r>
        <w:t>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000000" w:rsidRDefault="00F36ADD">
      <w:pPr>
        <w:ind w:firstLine="426"/>
        <w:jc w:val="both"/>
      </w:pPr>
      <w:r>
        <w:rPr>
          <w:b/>
          <w:bCs/>
        </w:rPr>
        <w:t>7.4</w:t>
      </w:r>
      <w:r>
        <w:t xml:space="preserve"> </w:t>
      </w:r>
      <w:r>
        <w:rPr>
          <w:b/>
          <w:bCs/>
        </w:rPr>
        <w:t>Сады</w:t>
      </w:r>
    </w:p>
    <w:p w:rsidR="00000000" w:rsidRDefault="00F36ADD">
      <w:pPr>
        <w:ind w:firstLine="426"/>
        <w:jc w:val="both"/>
      </w:pPr>
      <w:r>
        <w:t>7.4.1 На территории садов рекомендуется предусматривать колористическое ре</w:t>
      </w:r>
      <w:r>
        <w:t>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000000" w:rsidRDefault="00F36ADD">
      <w:pPr>
        <w:ind w:firstLine="426"/>
        <w:jc w:val="both"/>
      </w:pPr>
      <w:r>
        <w:t>7.4.2 Допускается транзитное пешеходное движение по территории сада,</w:t>
      </w:r>
      <w:r>
        <w:t xml:space="preserve"> предусматривать размещение ограждения, некапитальных нестационарных сооружений питания (летние кафе).</w:t>
      </w:r>
    </w:p>
    <w:p w:rsidR="00000000" w:rsidRDefault="00F36ADD">
      <w:pPr>
        <w:ind w:firstLine="426"/>
        <w:jc w:val="both"/>
      </w:pPr>
      <w:r>
        <w:t xml:space="preserve">7.4.3 Перечень элементов комплексного благоустройства сада при зданиях и сооружениях рекомендуется принимать согласно </w:t>
      </w:r>
      <w:hyperlink r:id="rId135" w:anchor="sub_id=70402" w:history="1">
        <w:r>
          <w:rPr>
            <w:rStyle w:val="a4"/>
            <w:color w:val="0000FF"/>
            <w:u w:val="single"/>
          </w:rPr>
          <w:t>пункту 7.4.2</w:t>
        </w:r>
      </w:hyperlink>
      <w:r>
        <w:t xml:space="preserve">. При озеленении рекомендуется применять различные приемы озеленения и цветочного оформления в зависимости от функционального назначения зданий и сооружений: партерные (репрезентативный, парадный </w:t>
      </w:r>
      <w:r>
        <w:t>сад), интерьерные - с площадками отдыха, кулисами, беседками, ландшафтными цветниками.</w:t>
      </w:r>
    </w:p>
    <w:p w:rsidR="00000000" w:rsidRDefault="00F36ADD">
      <w:pPr>
        <w:ind w:firstLine="426"/>
        <w:jc w:val="both"/>
      </w:pPr>
      <w:r>
        <w:t>7.4.4 Сад - 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w:t>
      </w:r>
      <w:r>
        <w:t>ак часть городского парка.</w:t>
      </w:r>
    </w:p>
    <w:p w:rsidR="00000000" w:rsidRDefault="00F36ADD">
      <w:pPr>
        <w:ind w:firstLine="426"/>
        <w:jc w:val="both"/>
      </w:pPr>
      <w:r>
        <w:t xml:space="preserve">7.4.5 Перечень элементов комплексного благоустройства сада-выставки при сооружениях рекомендуется принимать согласно </w:t>
      </w:r>
      <w:hyperlink r:id="rId136" w:anchor="sub_id=70402" w:history="1">
        <w:r>
          <w:rPr>
            <w:rStyle w:val="a4"/>
            <w:color w:val="0000FF"/>
            <w:u w:val="single"/>
          </w:rPr>
          <w:t>пункту 7.4.2</w:t>
        </w:r>
      </w:hyperlink>
      <w:r>
        <w:t>. Кроме того, пре</w:t>
      </w:r>
      <w:r>
        <w:t>дусматривается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rsidR="00000000" w:rsidRDefault="00F36ADD">
      <w:pPr>
        <w:ind w:firstLine="426"/>
        <w:jc w:val="both"/>
      </w:pPr>
      <w:r>
        <w:t>7.4.6 Сады</w:t>
      </w:r>
      <w:r>
        <w:t xml:space="preserve">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w:t>
      </w:r>
      <w:r>
        <w:t>ия задач озеленения,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комплексного благоустройства сада на крыше должен определяться п</w:t>
      </w:r>
      <w:r>
        <w:t xml:space="preserve">роектным решением. При проектировании следует руководствоваться </w:t>
      </w:r>
      <w:hyperlink r:id="rId137" w:history="1">
        <w:r>
          <w:rPr>
            <w:rStyle w:val="a4"/>
            <w:color w:val="0000FF"/>
            <w:u w:val="single"/>
          </w:rPr>
          <w:t>СНиП РК 2.02-05</w:t>
        </w:r>
      </w:hyperlink>
      <w:r>
        <w:t xml:space="preserve">, </w:t>
      </w:r>
      <w:hyperlink r:id="rId138" w:history="1">
        <w:r>
          <w:rPr>
            <w:rStyle w:val="a4"/>
            <w:color w:val="0000FF"/>
            <w:u w:val="single"/>
          </w:rPr>
          <w:t>СНиП 2.01.07</w:t>
        </w:r>
      </w:hyperlink>
      <w:r>
        <w:t>.</w:t>
      </w:r>
    </w:p>
    <w:p w:rsidR="00000000" w:rsidRDefault="00F36ADD">
      <w:pPr>
        <w:ind w:firstLine="426"/>
        <w:jc w:val="both"/>
      </w:pPr>
      <w:r>
        <w:rPr>
          <w:b/>
          <w:bCs/>
        </w:rPr>
        <w:t>7.5</w:t>
      </w:r>
      <w:r>
        <w:t xml:space="preserve"> </w:t>
      </w:r>
      <w:r>
        <w:rPr>
          <w:b/>
          <w:bCs/>
        </w:rPr>
        <w:t>Бульвары, скверы</w:t>
      </w:r>
    </w:p>
    <w:p w:rsidR="00000000" w:rsidRDefault="00F36ADD">
      <w:pPr>
        <w:ind w:firstLine="426"/>
        <w:jc w:val="both"/>
      </w:pPr>
      <w:r>
        <w:t>7.5.1 На т</w:t>
      </w:r>
      <w:r>
        <w:t>ерритории бульваров и скверов покрытие дорожек рекомендуется проектировать преимущественно в виде плиточного мощения.</w:t>
      </w:r>
    </w:p>
    <w:p w:rsidR="00000000" w:rsidRDefault="00F36ADD">
      <w:pPr>
        <w:ind w:firstLine="426"/>
        <w:jc w:val="both"/>
      </w:pPr>
      <w:r>
        <w:t>7.5.2 При озеленении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w:t>
      </w:r>
      <w:r>
        <w:t xml:space="preserve">оль набережных рекомендуется устраивать площадки отдыха, обращенные к </w:t>
      </w:r>
      <w:r>
        <w:lastRenderedPageBreak/>
        <w:t>водному зеркалу. При озеленении скверов рекомендуется использовать приемы зрительного расширения озеленяемого пространства.</w:t>
      </w:r>
    </w:p>
    <w:p w:rsidR="00000000" w:rsidRDefault="00F36ADD">
      <w:pPr>
        <w:ind w:firstLine="426"/>
        <w:jc w:val="both"/>
      </w:pPr>
      <w:r>
        <w:t>7.5.3 Для бульваров и скверов рекомендуется предусматривать ко</w:t>
      </w:r>
      <w:r>
        <w:t>лористическое решение покрытия, размещение элементов декоративно-прикладного оформления, а для бульваров, кроме того, уличного технического оборудования (тележки «Вода», «Мороженое»).</w:t>
      </w:r>
    </w:p>
    <w:p w:rsidR="00000000" w:rsidRDefault="00F36ADD">
      <w:pPr>
        <w:ind w:firstLine="426"/>
        <w:jc w:val="both"/>
      </w:pPr>
      <w:r>
        <w:rPr>
          <w:b/>
          <w:bCs/>
        </w:rPr>
        <w:t> </w:t>
      </w:r>
    </w:p>
    <w:p w:rsidR="00000000" w:rsidRDefault="00F36ADD">
      <w:pPr>
        <w:ind w:firstLine="426"/>
        <w:jc w:val="both"/>
      </w:pPr>
      <w:r>
        <w:rPr>
          <w:b/>
          <w:bCs/>
        </w:rPr>
        <w:t> </w:t>
      </w:r>
    </w:p>
    <w:p w:rsidR="00000000" w:rsidRDefault="00F36ADD">
      <w:pPr>
        <w:jc w:val="center"/>
      </w:pPr>
      <w:r>
        <w:rPr>
          <w:rStyle w:val="s1"/>
        </w:rPr>
        <w:t xml:space="preserve">8. ПРОЕКТИРОВАНИЕ КОМПЛЕКСНОГО БЛАГОУСТРОЙСТВА </w:t>
      </w:r>
      <w:r>
        <w:rPr>
          <w:rStyle w:val="s1"/>
        </w:rPr>
        <w:br/>
        <w:t>НА ТЕРРИТОРИЯХ ПРОИЗ</w:t>
      </w:r>
      <w:r>
        <w:rPr>
          <w:rStyle w:val="s1"/>
        </w:rPr>
        <w:t>ВОДСТВЕННОГО НАЗНАЧЕНИЯ</w:t>
      </w:r>
    </w:p>
    <w:p w:rsidR="00000000" w:rsidRDefault="00F36ADD">
      <w:pPr>
        <w:ind w:firstLine="426"/>
      </w:pPr>
      <w:r>
        <w:rPr>
          <w:b/>
          <w:bCs/>
        </w:rPr>
        <w:t> </w:t>
      </w:r>
    </w:p>
    <w:p w:rsidR="00000000" w:rsidRDefault="00F36ADD">
      <w:pPr>
        <w:ind w:firstLine="426"/>
        <w:jc w:val="both"/>
      </w:pPr>
      <w:r>
        <w:rPr>
          <w:b/>
          <w:bCs/>
        </w:rPr>
        <w:t>8.1</w:t>
      </w:r>
      <w:r>
        <w:t xml:space="preserve"> </w:t>
      </w:r>
      <w:r>
        <w:rPr>
          <w:b/>
          <w:bCs/>
        </w:rPr>
        <w:t>Общие положения</w:t>
      </w:r>
    </w:p>
    <w:p w:rsidR="00000000" w:rsidRDefault="00F36ADD">
      <w:pPr>
        <w:ind w:firstLine="426"/>
        <w:jc w:val="both"/>
      </w:pPr>
      <w:r>
        <w:t>8.1.1 На территориях производственного назначения объектами комплексного благоустройства являются общественные пространства и озелененные территории санитарно-защитных зон. Приемы благоустройства и озеленения в</w:t>
      </w:r>
      <w:r>
        <w:t xml:space="preserve"> зависимости от отраслевой направленности производства рекомендуется применять, в соответствии с </w:t>
      </w:r>
      <w:hyperlink r:id="rId139" w:anchor="sub_id=5" w:history="1">
        <w:r>
          <w:rPr>
            <w:rStyle w:val="a4"/>
            <w:color w:val="0000FF"/>
            <w:u w:val="single"/>
          </w:rPr>
          <w:t>приложением Д</w:t>
        </w:r>
      </w:hyperlink>
      <w:r>
        <w:t>.</w:t>
      </w:r>
    </w:p>
    <w:p w:rsidR="00000000" w:rsidRDefault="00F36ADD">
      <w:pPr>
        <w:ind w:firstLine="426"/>
        <w:jc w:val="both"/>
      </w:pPr>
      <w:r>
        <w:rPr>
          <w:b/>
          <w:bCs/>
        </w:rPr>
        <w:t>8.2</w:t>
      </w:r>
      <w:r>
        <w:t xml:space="preserve"> </w:t>
      </w:r>
      <w:r>
        <w:rPr>
          <w:b/>
          <w:bCs/>
        </w:rPr>
        <w:t>Общественные пространства</w:t>
      </w:r>
    </w:p>
    <w:p w:rsidR="00000000" w:rsidRDefault="00F36ADD">
      <w:pPr>
        <w:ind w:firstLine="426"/>
        <w:jc w:val="both"/>
      </w:pPr>
      <w:r>
        <w:t>8.2.1 Предзаводская площадь размещается у административного, основного производственного здания или у главных проходных как внутри границ территорий производственного назначения, так и на прилегающих к ним общественных территориях города. При ее проектиров</w:t>
      </w:r>
      <w:r>
        <w:t>ании рекомендуется учитывать требования норм и определять величину из расчета 0,6-0,9 га на 1 тыс. работающих. Под озеленение и размещение элементов благоустройства рекомендуется отводить 40-50% территории площади.</w:t>
      </w:r>
    </w:p>
    <w:p w:rsidR="00000000" w:rsidRDefault="00F36ADD">
      <w:pPr>
        <w:ind w:firstLine="426"/>
        <w:jc w:val="both"/>
      </w:pPr>
      <w:r>
        <w:t>8.2.2 На территории предзаводской площади</w:t>
      </w:r>
      <w:r>
        <w:t xml:space="preserve"> рекомендуется предусматривать виды покрытия в виде плиточного мощения, размещение элементов декоративно-прикладного оформления, водных устройств, оборудование архитектурно-декоративного освещения. Озеленение площади рекомендуется проектировать как партерн</w:t>
      </w:r>
      <w:r>
        <w:t>ое или формировать в виде сквера, активно используя цветочное оформление и мобильные формы озеленения (вазоны, цветочницы).</w:t>
      </w:r>
    </w:p>
    <w:p w:rsidR="00000000" w:rsidRDefault="00F36ADD">
      <w:pPr>
        <w:ind w:firstLine="426"/>
        <w:jc w:val="both"/>
      </w:pPr>
      <w:r>
        <w:t>8.2.3 Размещение сооружений и оборудования, связанного с продажей продуктов питания, следует согласовывать с органами санитарно-эпид</w:t>
      </w:r>
      <w:r>
        <w:t>емиологического надзора.</w:t>
      </w:r>
    </w:p>
    <w:p w:rsidR="00000000" w:rsidRDefault="00F36ADD">
      <w:pPr>
        <w:ind w:firstLine="426"/>
        <w:jc w:val="both"/>
      </w:pPr>
      <w:r>
        <w:t>8.2.4 Допускается размещение некапитальных нестационарных сооружений мелкорозничной торговли, бытового обслуживания, уличного технического оборудования (телефонные автоматы), средств наружной рекламы и информации.</w:t>
      </w:r>
    </w:p>
    <w:p w:rsidR="00000000" w:rsidRDefault="00F36ADD">
      <w:pPr>
        <w:ind w:firstLine="426"/>
        <w:jc w:val="both"/>
      </w:pPr>
      <w:r>
        <w:t>8.2.5 Минимальную</w:t>
      </w:r>
      <w:r>
        <w:t xml:space="preserve"> ширину основных пешеходных коммуникаций следует принимать 2,25 м, второстепенных - 1,5 м, расчетную ширину - исходя из мощности пешеходных потоков (не более 800 чел./час на 1 м ширины дороги).</w:t>
      </w:r>
    </w:p>
    <w:p w:rsidR="00000000" w:rsidRDefault="00F36ADD">
      <w:pPr>
        <w:ind w:firstLine="426"/>
        <w:jc w:val="both"/>
      </w:pPr>
      <w:r>
        <w:t xml:space="preserve">8.2.6 Рекомендуется проектировать озеленение вдоль пешеходных </w:t>
      </w:r>
      <w:r>
        <w:t>коммуникаций (с одной или с двух сторон) в виде газонов и цветников, рядовых посадок деревьев и кустарников.</w:t>
      </w:r>
    </w:p>
    <w:p w:rsidR="00000000" w:rsidRDefault="00F36ADD">
      <w:pPr>
        <w:ind w:firstLine="426"/>
        <w:jc w:val="both"/>
      </w:pPr>
      <w:r>
        <w:t>8.2.7 Допускается размещение средств наружной рекламы и информации предприятия.</w:t>
      </w:r>
    </w:p>
    <w:p w:rsidR="00000000" w:rsidRDefault="00F36ADD">
      <w:pPr>
        <w:ind w:firstLine="426"/>
        <w:jc w:val="both"/>
      </w:pPr>
      <w:r>
        <w:t>8.2.8 Размеры площадок отдыха на территории участков и зон производ</w:t>
      </w:r>
      <w:r>
        <w:t>ственной застройки следует определять по норме 1,0-1,2 кв. м на место (количество мест - 10-15% от работающих в наиболее многочисленную смену). Сумма расстояний от рабочего места до столовой и от столовой до площадок отдыха должна составлять не более 300 м</w:t>
      </w:r>
      <w:r>
        <w:t>. При шумном характере производства должны преобладать формы тихого отдыха и спокойные по цвету и форме 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w:t>
      </w:r>
      <w:r>
        <w:t>аски.</w:t>
      </w:r>
    </w:p>
    <w:p w:rsidR="00000000" w:rsidRDefault="00F36ADD">
      <w:pPr>
        <w:ind w:firstLine="426"/>
        <w:jc w:val="both"/>
      </w:pPr>
      <w:r>
        <w:t xml:space="preserve">8.2.9 Площадки для стоянки легковых автомобилей, велосипедов, мотоциклов следует размещать в стороне от основных транспортных и пешеходных потоков, при размещении </w:t>
      </w:r>
      <w:r>
        <w:lastRenderedPageBreak/>
        <w:t>обеспечивать условия хорошей маневренности. Площадки для стоянки легковых автомобилей с</w:t>
      </w:r>
      <w:r>
        <w:t>ледует проектировать согласно МСН 2. 02-05.</w:t>
      </w:r>
    </w:p>
    <w:p w:rsidR="00000000" w:rsidRDefault="00F36ADD">
      <w:pPr>
        <w:ind w:firstLine="426"/>
        <w:jc w:val="both"/>
      </w:pPr>
      <w:r>
        <w:t>Размеры площадки для стоянки велосипедов и мотоциклов определяются их количеством на смену (5-7%) и нормой: на велосипед - не более 0,6 кв. м при опоре на одно колесо и не более 0,9 кв. м при опоре на два колеса;</w:t>
      </w:r>
      <w:r>
        <w:t xml:space="preserve"> на мотоцикл или мотороллер - 3 кв. м.</w:t>
      </w:r>
    </w:p>
    <w:p w:rsidR="00000000" w:rsidRDefault="00F36ADD">
      <w:pPr>
        <w:ind w:firstLine="426"/>
        <w:jc w:val="both"/>
      </w:pPr>
      <w:r>
        <w:t>8.2.10 Объекты рекреации участков и зон производственной застройки следует формировать, как правило, в виде скверов для кратковременного отдыха перед сменой или после нее. Сквер следует размещать на территории, максим</w:t>
      </w:r>
      <w:r>
        <w:t>ально защищенной от неблагоприятных воздействий деятельности производства.</w:t>
      </w:r>
    </w:p>
    <w:p w:rsidR="00000000" w:rsidRDefault="00F36ADD">
      <w:pPr>
        <w:ind w:firstLine="426"/>
        <w:jc w:val="both"/>
      </w:pPr>
      <w:r>
        <w:rPr>
          <w:b/>
          <w:bCs/>
        </w:rPr>
        <w:t>8.3</w:t>
      </w:r>
      <w:r>
        <w:t xml:space="preserve"> </w:t>
      </w:r>
      <w:r>
        <w:rPr>
          <w:b/>
          <w:bCs/>
        </w:rPr>
        <w:t>Озелененные территории санитарно-защитных зон</w:t>
      </w:r>
    </w:p>
    <w:p w:rsidR="00000000" w:rsidRDefault="00F36ADD">
      <w:pPr>
        <w:ind w:firstLine="426"/>
        <w:jc w:val="both"/>
      </w:pPr>
      <w:r>
        <w:t>8.3.1 Озеленение рекомендуется формировать в виде живописных композиций, исключающих однообразие и монотонность.</w:t>
      </w:r>
    </w:p>
    <w:p w:rsidR="00000000" w:rsidRDefault="00F36ADD">
      <w:pPr>
        <w:ind w:firstLine="426"/>
        <w:jc w:val="both"/>
      </w:pPr>
      <w:r>
        <w:rPr>
          <w:b/>
          <w:bCs/>
        </w:rPr>
        <w:t> </w:t>
      </w:r>
    </w:p>
    <w:p w:rsidR="00000000" w:rsidRDefault="00F36ADD">
      <w:pPr>
        <w:ind w:firstLine="426"/>
        <w:jc w:val="both"/>
      </w:pPr>
      <w:r>
        <w:rPr>
          <w:b/>
          <w:bCs/>
        </w:rPr>
        <w:t> </w:t>
      </w:r>
    </w:p>
    <w:p w:rsidR="00000000" w:rsidRDefault="00F36ADD">
      <w:pPr>
        <w:jc w:val="center"/>
      </w:pPr>
      <w:r>
        <w:rPr>
          <w:rStyle w:val="s1"/>
        </w:rPr>
        <w:t>9. ОБЪЕКТЫ КОМ</w:t>
      </w:r>
      <w:r>
        <w:rPr>
          <w:rStyle w:val="s1"/>
        </w:rPr>
        <w:t xml:space="preserve">ПЛЕКСНОГО БЛАГОУСТРОЙСТВА НА ТЕРРИТОРИЯХ </w:t>
      </w:r>
      <w:r>
        <w:rPr>
          <w:rStyle w:val="s1"/>
        </w:rPr>
        <w:br/>
        <w:t>ТРАНСПОРТНЫХ И ИНЖЕНЕРНЫХ КОММУНИКАЦИЙ ГОРОДА</w:t>
      </w:r>
    </w:p>
    <w:p w:rsidR="00000000" w:rsidRDefault="00F36ADD">
      <w:pPr>
        <w:ind w:firstLine="426"/>
      </w:pPr>
      <w:r>
        <w:rPr>
          <w:b/>
          <w:bCs/>
        </w:rPr>
        <w:t> </w:t>
      </w:r>
    </w:p>
    <w:p w:rsidR="00000000" w:rsidRDefault="00F36ADD">
      <w:pPr>
        <w:ind w:firstLine="426"/>
        <w:jc w:val="both"/>
      </w:pPr>
      <w:r>
        <w:rPr>
          <w:b/>
          <w:bCs/>
        </w:rPr>
        <w:t>9.1</w:t>
      </w:r>
      <w:r>
        <w:t xml:space="preserve"> </w:t>
      </w:r>
      <w:r>
        <w:rPr>
          <w:b/>
          <w:bCs/>
        </w:rPr>
        <w:t>Общие положения</w:t>
      </w:r>
    </w:p>
    <w:p w:rsidR="00000000" w:rsidRDefault="00F36ADD">
      <w:pPr>
        <w:jc w:val="both"/>
      </w:pPr>
      <w:r>
        <w:rPr>
          <w:rStyle w:val="s3"/>
        </w:rPr>
        <w:t xml:space="preserve">Пункт 9.1.1 изложен в редакции </w:t>
      </w:r>
      <w:hyperlink r:id="rId140" w:anchor="sub_id=110" w:history="1">
        <w:r>
          <w:rPr>
            <w:rStyle w:val="a4"/>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141" w:anchor="sub_id=9010100" w:history="1">
        <w:r>
          <w:rPr>
            <w:rStyle w:val="a4"/>
            <w:i/>
            <w:iCs/>
            <w:color w:val="0000FF"/>
            <w:u w:val="single"/>
          </w:rPr>
          <w:t>см. стар. ре</w:t>
        </w:r>
        <w:r>
          <w:rPr>
            <w:rStyle w:val="a4"/>
            <w:i/>
            <w:iCs/>
            <w:color w:val="0000FF"/>
            <w:u w:val="single"/>
          </w:rPr>
          <w:t>д.</w:t>
        </w:r>
      </w:hyperlink>
      <w:r>
        <w:rPr>
          <w:rStyle w:val="s3"/>
        </w:rPr>
        <w:t>)</w:t>
      </w:r>
    </w:p>
    <w:p w:rsidR="00000000" w:rsidRDefault="00F36ADD">
      <w:pPr>
        <w:ind w:firstLine="426"/>
        <w:jc w:val="both"/>
      </w:pPr>
      <w:r>
        <w:t xml:space="preserve">9.1.1 Проектирование комплексного благоустройства на территориях транспортных и инженерных коммуникаций города следует вести с учетом положений </w:t>
      </w:r>
      <w:hyperlink r:id="rId142" w:history="1">
        <w:r>
          <w:rPr>
            <w:rStyle w:val="a4"/>
            <w:color w:val="0000FF"/>
            <w:u w:val="single"/>
          </w:rPr>
          <w:t>СП РК 3.01-101</w:t>
        </w:r>
      </w:hyperlink>
      <w:r>
        <w:t xml:space="preserve">, </w:t>
      </w:r>
      <w:hyperlink r:id="rId143" w:history="1">
        <w:r>
          <w:rPr>
            <w:rStyle w:val="a4"/>
            <w:color w:val="0000FF"/>
            <w:u w:val="single"/>
          </w:rPr>
          <w:t>СН РК 2.04-01</w:t>
        </w:r>
      </w:hyperlink>
      <w:r>
        <w:t xml:space="preserve">, </w:t>
      </w:r>
      <w:hyperlink r:id="rId144" w:history="1">
        <w:r>
          <w:rPr>
            <w:rStyle w:val="a4"/>
            <w:color w:val="0000FF"/>
            <w:u w:val="single"/>
          </w:rPr>
          <w:t>СП РК 3.06-101</w:t>
        </w:r>
      </w:hyperlink>
      <w:r>
        <w:t xml:space="preserve">, </w:t>
      </w:r>
      <w:hyperlink r:id="rId145" w:history="1">
        <w:r>
          <w:rPr>
            <w:rStyle w:val="a4"/>
            <w:color w:val="0000FF"/>
            <w:u w:val="single"/>
          </w:rPr>
          <w:t>ГОСТ 23457</w:t>
        </w:r>
      </w:hyperlink>
      <w:r>
        <w:t xml:space="preserve">, </w:t>
      </w:r>
      <w:hyperlink r:id="rId146" w:history="1">
        <w:r>
          <w:rPr>
            <w:rStyle w:val="a4"/>
            <w:color w:val="0000FF"/>
            <w:u w:val="single"/>
          </w:rPr>
          <w:t>ГОСТ 10807</w:t>
        </w:r>
      </w:hyperlink>
      <w:r>
        <w:t>, ГОСТ 51256. Размещение подземных инженерных сетей города на территории транспортных коммуникаций рекомендуется вести преимущественно в проходных коллекторах.</w:t>
      </w:r>
    </w:p>
    <w:p w:rsidR="00000000" w:rsidRDefault="00F36ADD">
      <w:pPr>
        <w:ind w:firstLine="426"/>
        <w:jc w:val="both"/>
      </w:pPr>
      <w:r>
        <w:rPr>
          <w:b/>
          <w:bCs/>
        </w:rPr>
        <w:t>9.2</w:t>
      </w:r>
      <w:r>
        <w:t xml:space="preserve"> </w:t>
      </w:r>
      <w:r>
        <w:rPr>
          <w:b/>
          <w:bCs/>
        </w:rPr>
        <w:t>Улицы и дороги</w:t>
      </w:r>
    </w:p>
    <w:p w:rsidR="00000000" w:rsidRDefault="00F36ADD">
      <w:pPr>
        <w:ind w:firstLine="426"/>
        <w:jc w:val="both"/>
      </w:pPr>
      <w:r>
        <w:t>9.2.1 Покрытие магистральных улиц с непрерывным д</w:t>
      </w:r>
      <w:r>
        <w:t xml:space="preserve">вижением следует проектировать максимально светлым для повышения отражающих свойств и обеспечения безопасности движения (применение асфальтобетонных смесей со светлым щебнем). Рекомендуемые материалы для покрытий улиц и дорог приведены в </w:t>
      </w:r>
      <w:hyperlink r:id="rId147" w:anchor="sub_id=6" w:history="1">
        <w:r>
          <w:rPr>
            <w:rStyle w:val="a4"/>
            <w:color w:val="0000FF"/>
            <w:u w:val="single"/>
          </w:rPr>
          <w:t>приложении Е</w:t>
        </w:r>
      </w:hyperlink>
      <w:r>
        <w:t>.</w:t>
      </w:r>
    </w:p>
    <w:p w:rsidR="00000000" w:rsidRDefault="00F36ADD">
      <w:pPr>
        <w:ind w:firstLine="426"/>
        <w:jc w:val="both"/>
      </w:pPr>
      <w:r>
        <w:t>9.2.2 Размещение деревьев в мощении допускается в условиях центрального ядра города и исторической застройки. Размещение зеленых насаждений у поворотов и остановок при нерегулируемо</w:t>
      </w:r>
      <w:r>
        <w:t xml:space="preserve">м движении следует проектировать согласно </w:t>
      </w:r>
      <w:hyperlink r:id="rId148" w:anchor="sub_id=90402" w:history="1">
        <w:r>
          <w:rPr>
            <w:rStyle w:val="a4"/>
            <w:color w:val="0000FF"/>
            <w:u w:val="single"/>
          </w:rPr>
          <w:t>9.4.2</w:t>
        </w:r>
      </w:hyperlink>
      <w:r>
        <w:t>. Рекомендуется предусматривать увеличение буферных зон между краем проезжей части и ближайшим рядом деревьев - за пределами зоны риска следует высаживать специально выращиваемые для таких объектов растения (таблица 10).</w:t>
      </w:r>
    </w:p>
    <w:p w:rsidR="00000000" w:rsidRDefault="00F36ADD">
      <w:pPr>
        <w:ind w:firstLine="426"/>
        <w:jc w:val="both"/>
      </w:pPr>
      <w:r>
        <w:rPr>
          <w:b/>
          <w:bCs/>
        </w:rPr>
        <w:t> </w:t>
      </w:r>
    </w:p>
    <w:p w:rsidR="00000000" w:rsidRDefault="00F36ADD">
      <w:pPr>
        <w:jc w:val="center"/>
      </w:pPr>
      <w:r>
        <w:rPr>
          <w:rStyle w:val="s1"/>
        </w:rPr>
        <w:t>Таблица 10 - Рекомендуемые рассто</w:t>
      </w:r>
      <w:r>
        <w:rPr>
          <w:rStyle w:val="s1"/>
        </w:rPr>
        <w:t>яния посадки деревьев в зависимости от категории улицы (в метрах)</w:t>
      </w:r>
    </w:p>
    <w:p w:rsidR="00000000" w:rsidRDefault="00F36ADD">
      <w:pPr>
        <w:ind w:firstLine="426"/>
        <w:jc w:val="center"/>
      </w:pPr>
      <w:r>
        <w:t> </w:t>
      </w:r>
    </w:p>
    <w:tbl>
      <w:tblPr>
        <w:tblW w:w="0" w:type="auto"/>
        <w:tblInd w:w="-1194" w:type="dxa"/>
        <w:tblCellMar>
          <w:left w:w="0" w:type="dxa"/>
          <w:right w:w="0" w:type="dxa"/>
        </w:tblCellMar>
        <w:tblLook w:val="04A0" w:firstRow="1" w:lastRow="0" w:firstColumn="1" w:lastColumn="0" w:noHBand="0" w:noVBand="1"/>
      </w:tblPr>
      <w:tblGrid>
        <w:gridCol w:w="6227"/>
        <w:gridCol w:w="4302"/>
      </w:tblGrid>
      <w:tr w:rsidR="00000000">
        <w:trPr>
          <w:trHeight w:val="20"/>
        </w:trPr>
        <w:tc>
          <w:tcPr>
            <w:tcW w:w="802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Категория улиц и дорог</w:t>
            </w:r>
          </w:p>
        </w:tc>
        <w:tc>
          <w:tcPr>
            <w:tcW w:w="553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Расстояние от проезжей части до ствола</w:t>
            </w:r>
          </w:p>
        </w:tc>
      </w:tr>
      <w:tr w:rsidR="00000000">
        <w:trPr>
          <w:trHeight w:val="20"/>
        </w:trPr>
        <w:tc>
          <w:tcPr>
            <w:tcW w:w="80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Магистральные улицы общегородского значения</w:t>
            </w:r>
          </w:p>
        </w:tc>
        <w:tc>
          <w:tcPr>
            <w:tcW w:w="55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5-7</w:t>
            </w:r>
          </w:p>
        </w:tc>
      </w:tr>
      <w:tr w:rsidR="00000000">
        <w:trPr>
          <w:trHeight w:val="20"/>
        </w:trPr>
        <w:tc>
          <w:tcPr>
            <w:tcW w:w="80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Магистральные улицы районного значения</w:t>
            </w:r>
          </w:p>
        </w:tc>
        <w:tc>
          <w:tcPr>
            <w:tcW w:w="55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3-4</w:t>
            </w:r>
          </w:p>
        </w:tc>
      </w:tr>
      <w:tr w:rsidR="00000000">
        <w:trPr>
          <w:trHeight w:val="20"/>
        </w:trPr>
        <w:tc>
          <w:tcPr>
            <w:tcW w:w="80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Улицы и дороги местного значения</w:t>
            </w:r>
          </w:p>
        </w:tc>
        <w:tc>
          <w:tcPr>
            <w:tcW w:w="55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2-3</w:t>
            </w:r>
          </w:p>
        </w:tc>
      </w:tr>
      <w:tr w:rsidR="00000000">
        <w:trPr>
          <w:trHeight w:val="20"/>
        </w:trPr>
        <w:tc>
          <w:tcPr>
            <w:tcW w:w="80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Проезды</w:t>
            </w:r>
          </w:p>
        </w:tc>
        <w:tc>
          <w:tcPr>
            <w:tcW w:w="55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1,5-2</w:t>
            </w:r>
          </w:p>
        </w:tc>
      </w:tr>
      <w:tr w:rsidR="00000000">
        <w:trPr>
          <w:trHeight w:val="20"/>
        </w:trPr>
        <w:tc>
          <w:tcPr>
            <w:tcW w:w="13558"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xml:space="preserve">ПРИМЕЧАНИЕ. Наиболее пригодные виды: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w:t>
            </w:r>
            <w:r>
              <w:t>желтая.</w:t>
            </w:r>
          </w:p>
        </w:tc>
      </w:tr>
    </w:tbl>
    <w:p w:rsidR="00000000" w:rsidRDefault="00F36ADD">
      <w:pPr>
        <w:ind w:firstLine="426"/>
      </w:pPr>
      <w:r>
        <w:t> </w:t>
      </w:r>
    </w:p>
    <w:p w:rsidR="00000000" w:rsidRDefault="00F36ADD">
      <w:pPr>
        <w:jc w:val="both"/>
      </w:pPr>
      <w:r>
        <w:rPr>
          <w:rStyle w:val="s3"/>
        </w:rPr>
        <w:lastRenderedPageBreak/>
        <w:t xml:space="preserve">Пункт 9.2.3 изложен в редакции </w:t>
      </w:r>
      <w:hyperlink r:id="rId149" w:anchor="sub_id=110" w:history="1">
        <w:r>
          <w:rPr>
            <w:rStyle w:val="a4"/>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w:t>
      </w:r>
      <w:r>
        <w:rPr>
          <w:rStyle w:val="s3"/>
        </w:rPr>
        <w:t>азвития РК от 06.11.19 г. № 178-НҚ (</w:t>
      </w:r>
      <w:hyperlink r:id="rId150" w:anchor="sub_id=9020300" w:history="1">
        <w:r>
          <w:rPr>
            <w:rStyle w:val="a4"/>
            <w:i/>
            <w:iCs/>
            <w:color w:val="0000FF"/>
            <w:u w:val="single"/>
          </w:rPr>
          <w:t>см. стар. ред.</w:t>
        </w:r>
      </w:hyperlink>
      <w:r>
        <w:rPr>
          <w:rStyle w:val="s3"/>
        </w:rPr>
        <w:t>)</w:t>
      </w:r>
    </w:p>
    <w:p w:rsidR="00000000" w:rsidRDefault="00F36ADD">
      <w:pPr>
        <w:ind w:firstLine="426"/>
        <w:jc w:val="both"/>
      </w:pPr>
      <w:r>
        <w:t>9.2.3 Ограждения улично - дорожной сети и искусственных сооружений (эстакады, путепроводы, мосты, др.) следует проектир</w:t>
      </w:r>
      <w:r>
        <w:t xml:space="preserve">овать в соответствии с </w:t>
      </w:r>
      <w:hyperlink r:id="rId151" w:history="1">
        <w:r>
          <w:rPr>
            <w:rStyle w:val="a4"/>
            <w:color w:val="0000FF"/>
            <w:u w:val="single"/>
          </w:rPr>
          <w:t>ГОСТ 23457</w:t>
        </w:r>
      </w:hyperlink>
      <w:r>
        <w:t xml:space="preserve">, </w:t>
      </w:r>
      <w:hyperlink r:id="rId152" w:history="1">
        <w:r>
          <w:rPr>
            <w:rStyle w:val="a4"/>
            <w:color w:val="0000FF"/>
            <w:u w:val="single"/>
          </w:rPr>
          <w:t>ГОСТ 26804</w:t>
        </w:r>
      </w:hyperlink>
      <w:r>
        <w:t xml:space="preserve"> и </w:t>
      </w:r>
      <w:hyperlink r:id="rId153" w:history="1">
        <w:r>
          <w:rPr>
            <w:rStyle w:val="a4"/>
            <w:color w:val="0000FF"/>
            <w:u w:val="single"/>
          </w:rPr>
          <w:t>СП РК 3.01-101</w:t>
        </w:r>
      </w:hyperlink>
      <w:r>
        <w:t>.</w:t>
      </w:r>
    </w:p>
    <w:p w:rsidR="00000000" w:rsidRDefault="00F36ADD">
      <w:pPr>
        <w:ind w:firstLine="426"/>
        <w:jc w:val="both"/>
      </w:pPr>
      <w:r>
        <w:t>9.2.4 Для освещения магистр</w:t>
      </w:r>
      <w:r>
        <w:t>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w:t>
      </w:r>
      <w:r>
        <w:t xml:space="preserve"> между высокими опорами на тросах. Допускается размещение оборудования декоративно-художественного (праздничного) освещения.</w:t>
      </w:r>
    </w:p>
    <w:p w:rsidR="00000000" w:rsidRDefault="00F36ADD">
      <w:pPr>
        <w:ind w:firstLine="426"/>
        <w:jc w:val="both"/>
      </w:pPr>
      <w:r>
        <w:t>9.2.5 Условия размещения дорожных знаков и информации, их форму, размеры, изображения, места их установки следует проектировать в с</w:t>
      </w:r>
      <w:r>
        <w:t xml:space="preserve">оответствии с </w:t>
      </w:r>
      <w:hyperlink r:id="rId154" w:history="1">
        <w:r>
          <w:rPr>
            <w:rStyle w:val="a4"/>
            <w:color w:val="0000FF"/>
            <w:u w:val="single"/>
          </w:rPr>
          <w:t>ГОСТ 10807</w:t>
        </w:r>
      </w:hyperlink>
      <w:r>
        <w:t xml:space="preserve"> на дорожные знаки. Расстояние в плане от края проезжей части до ближайшего к ней знака должно составлять от 0,5 до 2,0 м. Дорожную разметку следует проектировать в соо</w:t>
      </w:r>
      <w:r>
        <w:t>тветствии с ГОСТ 51256.</w:t>
      </w:r>
    </w:p>
    <w:p w:rsidR="00000000" w:rsidRDefault="00F36ADD">
      <w:pPr>
        <w:ind w:firstLine="426"/>
        <w:jc w:val="both"/>
      </w:pPr>
      <w:r>
        <w:t xml:space="preserve">9.2.6 Размещение светофоров следует проектировать в соответствии с </w:t>
      </w:r>
      <w:hyperlink r:id="rId155" w:history="1">
        <w:r>
          <w:rPr>
            <w:rStyle w:val="a4"/>
            <w:color w:val="0000FF"/>
            <w:u w:val="single"/>
          </w:rPr>
          <w:t>ГОСТ 23457</w:t>
        </w:r>
      </w:hyperlink>
      <w:r>
        <w:t>, в частности:</w:t>
      </w:r>
    </w:p>
    <w:p w:rsidR="00000000" w:rsidRDefault="00F36ADD">
      <w:pPr>
        <w:ind w:firstLine="426"/>
        <w:jc w:val="both"/>
      </w:pPr>
      <w:r>
        <w:t>- светофоры на стойках или кронштейнах следует располагать на высоте 2,0-3,0 м от поверхности тротуара до нижней линзы светофора, размещать - в пределах 0,5-2,0 м от края проезжей части;</w:t>
      </w:r>
    </w:p>
    <w:p w:rsidR="00000000" w:rsidRDefault="00F36ADD">
      <w:pPr>
        <w:ind w:firstLine="426"/>
        <w:jc w:val="both"/>
      </w:pPr>
      <w:r>
        <w:t>- высоту установки светофора на подвесках следует принимать 5,0-6,0 м</w:t>
      </w:r>
      <w:r>
        <w:t xml:space="preserve"> от поверхности проезжей части до днища корпуса светофора;</w:t>
      </w:r>
    </w:p>
    <w:p w:rsidR="00000000" w:rsidRDefault="00F36ADD">
      <w:pPr>
        <w:ind w:firstLine="426"/>
        <w:jc w:val="both"/>
      </w:pPr>
      <w:r>
        <w:t>- основной светофор на стойке или кронштейне должен располагаться на расстоянии 1,0-2,0 м перед пешеходным переходом, размещение светофорных стоек на переходе не допускается, дублирующий светофор д</w:t>
      </w:r>
      <w:r>
        <w:t>олжен располагаться на «островке безопасности» либо (при его отсутствии) совмещаться со светофором для встречного направления.</w:t>
      </w:r>
    </w:p>
    <w:p w:rsidR="00000000" w:rsidRDefault="00F36ADD">
      <w:pPr>
        <w:ind w:firstLine="426"/>
        <w:jc w:val="both"/>
      </w:pPr>
      <w:r>
        <w:t>На улицах регулируемого движения, как минимум, один светофор на три перехода следует оборудовать звуковой сигнализацией.</w:t>
      </w:r>
    </w:p>
    <w:p w:rsidR="00000000" w:rsidRDefault="00F36ADD">
      <w:pPr>
        <w:ind w:firstLine="426"/>
        <w:jc w:val="both"/>
      </w:pPr>
      <w:r>
        <w:rPr>
          <w:b/>
          <w:bCs/>
        </w:rPr>
        <w:t>9.3</w:t>
      </w:r>
      <w:r>
        <w:t xml:space="preserve"> </w:t>
      </w:r>
      <w:r>
        <w:rPr>
          <w:b/>
          <w:bCs/>
        </w:rPr>
        <w:t>Площ</w:t>
      </w:r>
      <w:r>
        <w:rPr>
          <w:b/>
          <w:bCs/>
        </w:rPr>
        <w:t>ади</w:t>
      </w:r>
    </w:p>
    <w:p w:rsidR="00000000" w:rsidRDefault="00F36ADD">
      <w:pPr>
        <w:ind w:firstLine="426"/>
        <w:jc w:val="both"/>
      </w:pPr>
      <w:r>
        <w:t>9.3.1 Территории площади включают: проезжую часть, пешеходную часть, участки и территории озеленения.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w:t>
      </w:r>
      <w:r>
        <w:t>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w:t>
      </w:r>
      <w:r>
        <w:t>рами для сбора мусора.</w:t>
      </w:r>
    </w:p>
    <w:p w:rsidR="00000000" w:rsidRDefault="00F36ADD">
      <w:pPr>
        <w:ind w:firstLine="426"/>
        <w:jc w:val="both"/>
      </w:pPr>
      <w:r>
        <w:t xml:space="preserve">9.3.2 Как правило, перечень элементов комплексного благоустройства на территории площади следует принимать в соответствии с </w:t>
      </w:r>
      <w:hyperlink r:id="rId156" w:anchor="sub_id=90202" w:history="1">
        <w:r>
          <w:rPr>
            <w:rStyle w:val="a4"/>
            <w:color w:val="0000FF"/>
            <w:u w:val="single"/>
          </w:rPr>
          <w:t>пунктом 9.2.2</w:t>
        </w:r>
      </w:hyperlink>
      <w:r>
        <w:t xml:space="preserve"> (улицы и дор</w:t>
      </w:r>
      <w:r>
        <w:t>оги). В зависимости от функционального назначения площади рекомендуется размещать следующие дополнительные элементы благоустройства:</w:t>
      </w:r>
    </w:p>
    <w:p w:rsidR="00000000" w:rsidRDefault="00F36ADD">
      <w:pPr>
        <w:ind w:firstLine="426"/>
        <w:jc w:val="both"/>
      </w:pPr>
      <w:r>
        <w:t>- на главных, приобъектных, мемориальных площадях - произведения декоративно-прикладного искусства, водные устройства (фонт</w:t>
      </w:r>
      <w:r>
        <w:t>аны);</w:t>
      </w:r>
    </w:p>
    <w:p w:rsidR="00000000" w:rsidRDefault="00F36ADD">
      <w:pPr>
        <w:ind w:firstLine="426"/>
        <w:jc w:val="both"/>
      </w:pPr>
      <w: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rsidR="00000000" w:rsidRDefault="00F36ADD">
      <w:pPr>
        <w:ind w:firstLine="426"/>
        <w:jc w:val="both"/>
      </w:pPr>
      <w:r>
        <w:t>9.3.3 При озеленении площади рекомендуется испол</w:t>
      </w:r>
      <w:r>
        <w:t>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города или сложившейся застройки рекомендуется применение компактных и (или) мобильных приемо</w:t>
      </w:r>
      <w:r>
        <w:t xml:space="preserve">в озеленения. Озеленение «островка безопасности» в центре площади рекомендуется осуществлять в виде </w:t>
      </w:r>
      <w:r>
        <w:lastRenderedPageBreak/>
        <w:t>партерного озеленения или высоких насаждений с учетом необходимого угла видимости для водителей согласно пункту 9.4.1.</w:t>
      </w:r>
    </w:p>
    <w:p w:rsidR="00000000" w:rsidRDefault="00F36ADD">
      <w:pPr>
        <w:ind w:firstLine="426"/>
        <w:jc w:val="both"/>
      </w:pPr>
      <w:r>
        <w:rPr>
          <w:b/>
          <w:bCs/>
        </w:rPr>
        <w:t>9.4</w:t>
      </w:r>
      <w:r>
        <w:t xml:space="preserve"> </w:t>
      </w:r>
      <w:r>
        <w:rPr>
          <w:b/>
          <w:bCs/>
        </w:rPr>
        <w:t>Пешеходные переходы</w:t>
      </w:r>
    </w:p>
    <w:p w:rsidR="00000000" w:rsidRDefault="00F36ADD">
      <w:pPr>
        <w:ind w:firstLine="426"/>
        <w:jc w:val="both"/>
      </w:pPr>
      <w:r>
        <w:t>9.4.1 На улиц</w:t>
      </w:r>
      <w:r>
        <w:t>ах нерегулируемого движения в зоне треугольника видимости высоту строений, некапитальных нестационарных сооружений, рекламных щитов, зеленых насаждений следует назначать, как правило, не более 0,5 м. Стороны треугольника следует принимать: 8 × 40 м при раз</w:t>
      </w:r>
      <w:r>
        <w:t>решенной скорости движения транспорта 40 км/ч; 10 × 50 м - при скорости 60 км/ч.</w:t>
      </w:r>
    </w:p>
    <w:p w:rsidR="00000000" w:rsidRDefault="00F36ADD">
      <w:pPr>
        <w:ind w:firstLine="426"/>
        <w:jc w:val="both"/>
      </w:pPr>
      <w:r>
        <w:t>9.4.2 Если в составе наземного пешеходного перехода расположен «островок безопасности», приподнятый над уровнем дорожного полотна, в нем необходимо предусматривать проезд шири</w:t>
      </w:r>
      <w:r>
        <w:t>ной не менее 0,9 м в уровне транспортного полотна для беспрепятственного передвижения колясок (детских, инвалидных, хозяйственных).</w:t>
      </w:r>
    </w:p>
    <w:p w:rsidR="00000000" w:rsidRDefault="00F36ADD">
      <w:pPr>
        <w:ind w:firstLine="426"/>
        <w:jc w:val="both"/>
      </w:pPr>
      <w:r>
        <w:t xml:space="preserve">9.4.3 Светофорное оборудование в зоне пешеходного перехода на улицах регулируемого движения следует оборудовать согласно </w:t>
      </w:r>
      <w:hyperlink r:id="rId157" w:history="1">
        <w:r>
          <w:rPr>
            <w:rStyle w:val="a4"/>
            <w:color w:val="0000FF"/>
            <w:u w:val="single"/>
          </w:rPr>
          <w:t>ГОСТ 23457</w:t>
        </w:r>
      </w:hyperlink>
      <w:r>
        <w:t>.</w:t>
      </w:r>
    </w:p>
    <w:p w:rsidR="00000000" w:rsidRDefault="00F36ADD">
      <w:pPr>
        <w:ind w:firstLine="426"/>
        <w:jc w:val="both"/>
      </w:pPr>
      <w:r>
        <w:t xml:space="preserve">9.4.4 Ширину внеуличных переходов следует проектировать с учетом величины ожидаемого пешеходного потока в соответствии с </w:t>
      </w:r>
      <w:hyperlink r:id="rId158" w:anchor="sub_id=7" w:history="1">
        <w:r>
          <w:rPr>
            <w:rStyle w:val="a4"/>
            <w:color w:val="0000FF"/>
            <w:u w:val="single"/>
          </w:rPr>
          <w:t>приложением Ж</w:t>
        </w:r>
      </w:hyperlink>
      <w:r>
        <w:t>, но не менее 3 м.</w:t>
      </w:r>
    </w:p>
    <w:p w:rsidR="00000000" w:rsidRDefault="00F36ADD">
      <w:pPr>
        <w:ind w:firstLine="426"/>
        <w:jc w:val="both"/>
      </w:pPr>
      <w:r>
        <w:t>9.4.5 Обязательный перечень элементов комплексного благоустройства внеуличного пешеходного перехода включает: твердые виды покрытия пола, элемент</w:t>
      </w:r>
      <w:r>
        <w:t>ы сопряжения поверхностей (лестницы, пандусы), осветительное оборудование, урны и малые контейнеры для мусора.</w:t>
      </w:r>
    </w:p>
    <w:p w:rsidR="00000000" w:rsidRDefault="00F36ADD">
      <w:pPr>
        <w:ind w:firstLine="426"/>
        <w:jc w:val="both"/>
      </w:pPr>
      <w:r>
        <w:t>9.4.6 Покрытие пола рекомендуется выполнять из естественного камня типа базальта или гранита толщиной не менее 40 мм или цветной тротуарной плитк</w:t>
      </w:r>
      <w:r>
        <w:t>и из высококачественного пескобетона. Для облицовки внутренних поверхностей подземного пешеходного перехода рекомендуется применение естественного камня, допускается использование высококачественных искусственных материалов морозостойкостью не менее F 300.</w:t>
      </w:r>
    </w:p>
    <w:p w:rsidR="00000000" w:rsidRDefault="00F36ADD">
      <w:pPr>
        <w:ind w:firstLine="426"/>
        <w:jc w:val="both"/>
      </w:pPr>
      <w:r>
        <w:t>9.4.7 Минимальную ширину двухсторонних лестниц и сопровождающих их пандусов следует принимать 2,25 м (лестница) и 1,8 м (пандус).</w:t>
      </w:r>
    </w:p>
    <w:p w:rsidR="00000000" w:rsidRDefault="00F36ADD">
      <w:pPr>
        <w:ind w:firstLine="426"/>
        <w:jc w:val="both"/>
      </w:pPr>
      <w:r>
        <w:t xml:space="preserve">9.4.8 В подземном пешеходном переходе продольный уклон пола тоннеля следует принимать не более 0,4‰, поперечный уклон - 10‰. </w:t>
      </w:r>
      <w:r>
        <w:t>При заглублении подземных пешеходных переходов более 5 м следует предусматривать устройство эскалаторов. При длине пешеходного тоннеля более 150 м рекомендуется устройство движущихся тротуаров.</w:t>
      </w:r>
    </w:p>
    <w:p w:rsidR="00000000" w:rsidRDefault="00F36ADD">
      <w:pPr>
        <w:ind w:firstLine="426"/>
        <w:jc w:val="both"/>
      </w:pPr>
      <w:r>
        <w:t>9.4.9 Для переходов-распределителей в транспортно-пересадочных</w:t>
      </w:r>
      <w:r>
        <w:t xml:space="preserve"> узлах ширину пешеходного пространства следует определять согласно приложению К, обеспечивая минимальное пересечение пешеходных потоков и применяя разграничение встречных потоков разметкой, мощением и т.п. элементами. Рекомендуется применять полы из разноц</w:t>
      </w:r>
      <w:r>
        <w:t>ветных естественных и искусственных материалов.</w:t>
      </w:r>
    </w:p>
    <w:p w:rsidR="00000000" w:rsidRDefault="00F36ADD">
      <w:pPr>
        <w:ind w:firstLine="426"/>
        <w:jc w:val="both"/>
      </w:pPr>
      <w:r>
        <w:rPr>
          <w:b/>
          <w:bCs/>
        </w:rPr>
        <w:t>9.5</w:t>
      </w:r>
      <w:r>
        <w:t xml:space="preserve"> </w:t>
      </w:r>
      <w:r>
        <w:rPr>
          <w:b/>
          <w:bCs/>
        </w:rPr>
        <w:t>Технические зоны транспортных, инженерных коммуникаций, водоохранные зоны</w:t>
      </w:r>
    </w:p>
    <w:p w:rsidR="00000000" w:rsidRDefault="00F36ADD">
      <w:pPr>
        <w:ind w:firstLine="426"/>
        <w:jc w:val="both"/>
      </w:pPr>
      <w:r>
        <w:t xml:space="preserve">9.5.1 На территории населенного пункта, как правило, предусматривают следующие виды технических зон: от магистральных коллекторов </w:t>
      </w:r>
      <w:r>
        <w:t>и трубопроводов, кабелей высокого и низкого напряжения, слабых токов, линий высоковольтных передач, метрополитена мелкого заложения.</w:t>
      </w:r>
    </w:p>
    <w:p w:rsidR="00000000" w:rsidRDefault="00F36ADD">
      <w:pPr>
        <w:ind w:firstLine="426"/>
        <w:jc w:val="both"/>
      </w:pPr>
      <w:r>
        <w:t>9.5.2 В зоне линий высоковольтных передач напряжением менее 110 кВт допускается размещение площадок для выгула и дрессировк</w:t>
      </w:r>
      <w:r>
        <w:t>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000000" w:rsidRDefault="00F36ADD">
      <w:pPr>
        <w:ind w:firstLine="426"/>
        <w:jc w:val="both"/>
      </w:pPr>
      <w:r>
        <w:t>9.5.3 На территории технических зон метрополитена по</w:t>
      </w:r>
      <w:r>
        <w:t xml:space="preserve"> согласованию с местными уполномоченными структурами населенного пункта допускается организация бульваров, скверов, участков зеленых насаждений (все насаждения - с неглубокой, поверхностной корневой системой), установка некапитальных нестационарных сооруже</w:t>
      </w:r>
      <w:r>
        <w:t xml:space="preserve">ний, размещение </w:t>
      </w:r>
      <w:r>
        <w:lastRenderedPageBreak/>
        <w:t>площадок для стоянок автомобилей и выгула собак. Площадки для выгула собак должны располагаться не ближе 5,0 м от красных линий улиц и дорог.</w:t>
      </w:r>
    </w:p>
    <w:p w:rsidR="00000000" w:rsidRDefault="00F36ADD">
      <w:pPr>
        <w:ind w:firstLine="426"/>
        <w:jc w:val="both"/>
      </w:pPr>
      <w:r>
        <w:t xml:space="preserve">9.5.4 Комплексное благоустройство полосы отвода ж/д следует проектировать на основе </w:t>
      </w:r>
      <w:hyperlink r:id="rId159" w:history="1">
        <w:r>
          <w:rPr>
            <w:rStyle w:val="a4"/>
            <w:color w:val="0000FF"/>
            <w:u w:val="single"/>
          </w:rPr>
          <w:t>СНиП РК 3.03-01</w:t>
        </w:r>
      </w:hyperlink>
      <w:r>
        <w:t>.</w:t>
      </w:r>
    </w:p>
    <w:p w:rsidR="00000000" w:rsidRDefault="00F36ADD">
      <w:pPr>
        <w:ind w:firstLine="426"/>
        <w:jc w:val="both"/>
      </w:pPr>
      <w:r>
        <w:t>9.5.5 Комплексное благоустройство территорий водоохранных зон следует проектировать с учетом положений «</w:t>
      </w:r>
      <w:hyperlink r:id="rId160" w:anchor="sub_id=100" w:history="1">
        <w:r>
          <w:rPr>
            <w:rStyle w:val="a4"/>
            <w:color w:val="0000FF"/>
            <w:u w:val="single"/>
          </w:rPr>
          <w:t>Пра</w:t>
        </w:r>
        <w:r>
          <w:rPr>
            <w:rStyle w:val="a4"/>
            <w:color w:val="0000FF"/>
            <w:u w:val="single"/>
          </w:rPr>
          <w:t>вил</w:t>
        </w:r>
      </w:hyperlink>
      <w:r>
        <w:t xml:space="preserve"> установления водоохранных зон и полос водных объектов».</w:t>
      </w:r>
    </w:p>
    <w:p w:rsidR="00000000" w:rsidRDefault="00F36ADD">
      <w:pPr>
        <w:ind w:firstLine="426"/>
        <w:jc w:val="both"/>
      </w:pPr>
      <w:r>
        <w:rPr>
          <w:b/>
          <w:bCs/>
        </w:rPr>
        <w:t> </w:t>
      </w:r>
    </w:p>
    <w:p w:rsidR="00000000" w:rsidRDefault="00F36ADD">
      <w:pPr>
        <w:jc w:val="both"/>
      </w:pPr>
      <w:r>
        <w:rPr>
          <w:rStyle w:val="s3"/>
        </w:rPr>
        <w:t xml:space="preserve">В приложение А внесены изменения в соответствии с </w:t>
      </w:r>
      <w:hyperlink r:id="rId161" w:anchor="sub_id=700" w:history="1">
        <w:r>
          <w:rPr>
            <w:rStyle w:val="a4"/>
            <w:i/>
            <w:iCs/>
            <w:color w:val="0000FF"/>
            <w:u w:val="single"/>
            <w:bdr w:val="none" w:sz="0" w:space="0" w:color="auto" w:frame="1"/>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05.03.18 г. № 45-нқ (</w:t>
      </w:r>
      <w:hyperlink r:id="rId162" w:anchor="sub_id=1" w:history="1">
        <w:r>
          <w:rPr>
            <w:rStyle w:val="a4"/>
            <w:color w:val="0000FF"/>
            <w:u w:val="single"/>
          </w:rPr>
          <w:t>см. стар. ред.</w:t>
        </w:r>
      </w:hyperlink>
      <w:r>
        <w:rPr>
          <w:rStyle w:val="s3"/>
        </w:rPr>
        <w:t>)</w:t>
      </w:r>
    </w:p>
    <w:p w:rsidR="00000000" w:rsidRDefault="00F36ADD">
      <w:pPr>
        <w:ind w:firstLine="426"/>
        <w:jc w:val="right"/>
      </w:pPr>
      <w:r>
        <w:rPr>
          <w:b/>
          <w:bCs/>
        </w:rPr>
        <w:t>ПРИЛОЖЕНИЕ А</w:t>
      </w:r>
    </w:p>
    <w:p w:rsidR="00000000" w:rsidRDefault="00F36ADD">
      <w:pPr>
        <w:ind w:firstLine="426"/>
        <w:jc w:val="right"/>
      </w:pPr>
      <w:r>
        <w:rPr>
          <w:i/>
          <w:iCs/>
        </w:rPr>
        <w:t>(ин</w:t>
      </w:r>
      <w:r>
        <w:rPr>
          <w:i/>
          <w:iCs/>
        </w:rPr>
        <w:t xml:space="preserve">формационное) </w:t>
      </w:r>
    </w:p>
    <w:p w:rsidR="00000000" w:rsidRDefault="00F36ADD">
      <w:pPr>
        <w:ind w:firstLine="426"/>
        <w:jc w:val="right"/>
      </w:pPr>
      <w:r>
        <w:t> </w:t>
      </w:r>
    </w:p>
    <w:p w:rsidR="00000000" w:rsidRDefault="00F36ADD">
      <w:pPr>
        <w:ind w:firstLine="426"/>
        <w:jc w:val="right"/>
      </w:pPr>
      <w:r>
        <w:t> </w:t>
      </w:r>
    </w:p>
    <w:p w:rsidR="00000000" w:rsidRDefault="00F36ADD">
      <w:pPr>
        <w:jc w:val="center"/>
      </w:pPr>
      <w:r>
        <w:rPr>
          <w:rStyle w:val="s1"/>
        </w:rPr>
        <w:t>Озеленение территории</w:t>
      </w:r>
    </w:p>
    <w:p w:rsidR="00000000" w:rsidRDefault="00F36ADD">
      <w:pPr>
        <w:ind w:firstLine="426"/>
        <w:jc w:val="center"/>
      </w:pPr>
      <w:r>
        <w:rPr>
          <w:b/>
          <w:bCs/>
        </w:rPr>
        <w:t> </w:t>
      </w:r>
    </w:p>
    <w:p w:rsidR="00000000" w:rsidRDefault="00F36ADD">
      <w:pPr>
        <w:jc w:val="center"/>
      </w:pPr>
      <w:r>
        <w:rPr>
          <w:rStyle w:val="s1"/>
        </w:rPr>
        <w:t>Таблица А.1 Максимальное количество деревьев и кустарников на 1 га озелененной территории</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3131"/>
        <w:gridCol w:w="3045"/>
        <w:gridCol w:w="3159"/>
      </w:tblGrid>
      <w:tr w:rsidR="00000000">
        <w:trPr>
          <w:trHeight w:val="20"/>
        </w:trPr>
        <w:tc>
          <w:tcPr>
            <w:tcW w:w="167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Типы объектов</w:t>
            </w:r>
          </w:p>
        </w:tc>
        <w:tc>
          <w:tcPr>
            <w:tcW w:w="16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Деревья (шт.)</w:t>
            </w:r>
          </w:p>
        </w:tc>
        <w:tc>
          <w:tcPr>
            <w:tcW w:w="16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Кустарники (шт.)</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Озелененные территории общего пользования</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Парки общегородские и районные</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120-170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800-1000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Скверы</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100-130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1000-1300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Бульвары</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200-300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1200-1300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Озелененные территории на участках застройки</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жилой застройки</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100-120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400-480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детских садов и яслей</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160-200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640-800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общеобразовательных организаций</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35-45</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140-180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Спортивные комплексы</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100-130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400-520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Больницы и лечебные учреждения</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180-250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720-1000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промышленных предприятий</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150-180</w:t>
            </w:r>
            <w:r>
              <w:rPr>
                <w:vertAlign w:val="superscript"/>
              </w:rPr>
              <w:t>*</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600-720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Озелененные территории специального назначения</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Улицы, набережные</w:t>
            </w:r>
            <w:r>
              <w:rPr>
                <w:vertAlign w:val="superscript"/>
              </w:rPr>
              <w:t>**</w:t>
            </w:r>
          </w:p>
        </w:tc>
        <w:tc>
          <w:tcPr>
            <w:tcW w:w="1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150-180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600-720</w:t>
            </w:r>
          </w:p>
        </w:tc>
      </w:tr>
      <w:tr w:rsidR="00000000">
        <w:trPr>
          <w:trHeight w:val="20"/>
        </w:trPr>
        <w:tc>
          <w:tcPr>
            <w:tcW w:w="16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Санитарно-защитные зоны</w:t>
            </w:r>
          </w:p>
        </w:tc>
        <w:tc>
          <w:tcPr>
            <w:tcW w:w="33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В зависимости от процента озеленения зоны</w:t>
            </w:r>
            <w:r>
              <w:rPr>
                <w:vertAlign w:val="superscript"/>
              </w:rPr>
              <w:t>***</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w:t>
            </w:r>
            <w:r>
              <w:rPr>
                <w:vertAlign w:val="superscript"/>
              </w:rPr>
              <w:t>*</w:t>
            </w:r>
            <w:r>
              <w:t xml:space="preserve">. В зависимости от профиля предприятия. </w:t>
            </w:r>
          </w:p>
          <w:p w:rsidR="00000000" w:rsidRDefault="00F36ADD">
            <w:r>
              <w:t>ПРИМЕЧАНИЕ</w:t>
            </w:r>
            <w:r>
              <w:rPr>
                <w:vertAlign w:val="superscript"/>
              </w:rPr>
              <w:t>**</w:t>
            </w:r>
            <w:r>
              <w:t xml:space="preserve">. На 1 км при условии допустимости насаждений. </w:t>
            </w:r>
          </w:p>
          <w:p w:rsidR="00000000" w:rsidRDefault="00F36ADD">
            <w:r>
              <w:t>ПРИМЕЧАНИЕ</w:t>
            </w:r>
            <w:r>
              <w:rPr>
                <w:vertAlign w:val="superscript"/>
              </w:rPr>
              <w:t>***</w:t>
            </w:r>
            <w:r>
              <w:t xml:space="preserve">. В соответствии с </w:t>
            </w:r>
            <w:hyperlink r:id="rId163" w:history="1">
              <w:r>
                <w:rPr>
                  <w:rStyle w:val="a4"/>
                  <w:color w:val="0000FF"/>
                  <w:u w:val="single"/>
                </w:rPr>
                <w:t>СП</w:t>
              </w:r>
            </w:hyperlink>
            <w:r>
              <w:t xml:space="preserve"> «Санитарно-эпидемиологические требования по установлению санитарно-защитной зоны производственных объектов».</w:t>
            </w:r>
          </w:p>
        </w:tc>
      </w:tr>
    </w:tbl>
    <w:p w:rsidR="00000000" w:rsidRDefault="00F36ADD">
      <w:pPr>
        <w:ind w:firstLine="426"/>
      </w:pPr>
      <w:r>
        <w:rPr>
          <w:b/>
          <w:bCs/>
        </w:rPr>
        <w:t> </w:t>
      </w:r>
    </w:p>
    <w:p w:rsidR="00000000" w:rsidRDefault="00F36ADD">
      <w:pPr>
        <w:jc w:val="center"/>
      </w:pPr>
      <w:r>
        <w:rPr>
          <w:rStyle w:val="s1"/>
        </w:rPr>
        <w:t>Таблица А.2 - Доля цветников на озелененных территориях объектов рекреации</w:t>
      </w:r>
    </w:p>
    <w:p w:rsidR="00000000" w:rsidRDefault="00F36ADD">
      <w:pPr>
        <w:ind w:firstLine="426"/>
        <w:jc w:val="center"/>
      </w:pPr>
      <w:r>
        <w:t> </w:t>
      </w:r>
    </w:p>
    <w:tbl>
      <w:tblPr>
        <w:tblW w:w="0" w:type="auto"/>
        <w:tblCellMar>
          <w:left w:w="0" w:type="dxa"/>
          <w:right w:w="0" w:type="dxa"/>
        </w:tblCellMar>
        <w:tblLook w:val="04A0" w:firstRow="1" w:lastRow="0" w:firstColumn="1" w:lastColumn="0" w:noHBand="0" w:noVBand="1"/>
      </w:tblPr>
      <w:tblGrid>
        <w:gridCol w:w="4425"/>
        <w:gridCol w:w="4910"/>
      </w:tblGrid>
      <w:tr w:rsidR="00000000">
        <w:trPr>
          <w:trHeight w:val="20"/>
        </w:trPr>
        <w:tc>
          <w:tcPr>
            <w:tcW w:w="458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Виды объектов рекреации</w:t>
            </w:r>
          </w:p>
        </w:tc>
        <w:tc>
          <w:tcPr>
            <w:tcW w:w="509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Удельный вес цветников</w:t>
            </w:r>
            <w:r>
              <w:rPr>
                <w:vertAlign w:val="superscript"/>
              </w:rPr>
              <w:t>*</w:t>
            </w:r>
            <w:r>
              <w:t xml:space="preserve"> от площади озеленения объектов (в %)</w:t>
            </w:r>
          </w:p>
        </w:tc>
      </w:tr>
      <w:tr w:rsidR="00000000">
        <w:trPr>
          <w:trHeight w:val="20"/>
        </w:trPr>
        <w:tc>
          <w:tcPr>
            <w:tcW w:w="458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Парки</w:t>
            </w:r>
          </w:p>
        </w:tc>
        <w:tc>
          <w:tcPr>
            <w:tcW w:w="50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2,0-2,5</w:t>
            </w:r>
          </w:p>
        </w:tc>
      </w:tr>
      <w:tr w:rsidR="00000000">
        <w:trPr>
          <w:trHeight w:val="20"/>
        </w:trPr>
        <w:tc>
          <w:tcPr>
            <w:tcW w:w="458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lastRenderedPageBreak/>
              <w:t>Сады</w:t>
            </w:r>
          </w:p>
        </w:tc>
        <w:tc>
          <w:tcPr>
            <w:tcW w:w="50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2,5-3,0</w:t>
            </w:r>
          </w:p>
        </w:tc>
      </w:tr>
      <w:tr w:rsidR="00000000">
        <w:trPr>
          <w:trHeight w:val="20"/>
        </w:trPr>
        <w:tc>
          <w:tcPr>
            <w:tcW w:w="458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Скверы</w:t>
            </w:r>
          </w:p>
        </w:tc>
        <w:tc>
          <w:tcPr>
            <w:tcW w:w="50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4,0-5,0</w:t>
            </w:r>
          </w:p>
        </w:tc>
      </w:tr>
      <w:tr w:rsidR="00000000">
        <w:trPr>
          <w:trHeight w:val="20"/>
        </w:trPr>
        <w:tc>
          <w:tcPr>
            <w:tcW w:w="458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pPr>
              <w:jc w:val="center"/>
            </w:pPr>
            <w:r>
              <w:t>Бульвары</w:t>
            </w:r>
          </w:p>
        </w:tc>
        <w:tc>
          <w:tcPr>
            <w:tcW w:w="5093" w:type="dxa"/>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3,0-4,0</w:t>
            </w:r>
          </w:p>
        </w:tc>
      </w:tr>
      <w:tr w:rsidR="00000000">
        <w:trPr>
          <w:trHeight w:val="20"/>
        </w:trPr>
        <w:tc>
          <w:tcPr>
            <w:tcW w:w="9682" w:type="dxa"/>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w:t>
            </w:r>
            <w:r>
              <w:rPr>
                <w:vertAlign w:val="superscript"/>
              </w:rPr>
              <w:t>*</w:t>
            </w:r>
            <w:r>
              <w:t>. В том числе не менее половины от площади цветника следует формировать из многолетников.</w:t>
            </w:r>
          </w:p>
        </w:tc>
      </w:tr>
    </w:tbl>
    <w:p w:rsidR="00000000" w:rsidRDefault="00F36ADD">
      <w:pPr>
        <w:ind w:firstLine="426"/>
      </w:pPr>
      <w:r>
        <w:rPr>
          <w:b/>
          <w:bCs/>
        </w:rPr>
        <w:t> </w:t>
      </w:r>
    </w:p>
    <w:p w:rsidR="00000000" w:rsidRDefault="00F36ADD">
      <w:pPr>
        <w:jc w:val="center"/>
      </w:pPr>
      <w:r>
        <w:rPr>
          <w:rStyle w:val="s1"/>
        </w:rPr>
        <w:t>Таблица А.3 - Обеспеченность озелененными территориями участков общественной, жилой, производственной застройки</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6002"/>
        <w:gridCol w:w="3333"/>
      </w:tblGrid>
      <w:tr w:rsidR="00000000">
        <w:trPr>
          <w:trHeight w:val="20"/>
        </w:trPr>
        <w:tc>
          <w:tcPr>
            <w:tcW w:w="321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Территории участков общественной, жилой, производственной застройки</w:t>
            </w:r>
          </w:p>
        </w:tc>
        <w:tc>
          <w:tcPr>
            <w:tcW w:w="17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Территории озеленения, (%)</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детских садов-яслей</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менее 50</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both"/>
            </w:pPr>
            <w:r>
              <w:t>Участки общеобразовательных организаций</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менее 10</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больниц</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50-65</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культурно - просветительных учреждений</w:t>
            </w:r>
            <w:r>
              <w:rPr>
                <w:vertAlign w:val="superscript"/>
              </w:rPr>
              <w:t>*</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20-30</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территории вузов</w:t>
            </w:r>
            <w:r>
              <w:rPr>
                <w:vertAlign w:val="superscript"/>
              </w:rPr>
              <w:t>*</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30-40</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техникумов</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менее 40</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профтехучилищ</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 менее 40</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жилой застройки</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40-60</w:t>
            </w:r>
          </w:p>
        </w:tc>
      </w:tr>
      <w:tr w:rsidR="00000000">
        <w:trPr>
          <w:trHeight w:val="20"/>
        </w:trPr>
        <w:tc>
          <w:tcPr>
            <w:tcW w:w="3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Участки производственной застройки</w:t>
            </w:r>
            <w:r>
              <w:rPr>
                <w:vertAlign w:val="superscript"/>
              </w:rPr>
              <w:t>**</w:t>
            </w:r>
          </w:p>
        </w:tc>
        <w:tc>
          <w:tcPr>
            <w:tcW w:w="1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10- 15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w:t>
            </w:r>
            <w:r>
              <w:rPr>
                <w:vertAlign w:val="superscript"/>
              </w:rPr>
              <w:t>*</w:t>
            </w:r>
            <w:r>
              <w:t>. В зависимост</w:t>
            </w:r>
            <w:r>
              <w:t>и от градостроительной ситуации (размещение в высокоплотной, сложившейся, исторической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w:t>
            </w:r>
            <w:r>
              <w:t xml:space="preserve">пактного озеленения. </w:t>
            </w:r>
          </w:p>
          <w:p w:rsidR="00000000" w:rsidRDefault="00F36ADD">
            <w:r>
              <w:t>ПРИМЕЧАНИЕ</w:t>
            </w:r>
            <w:r>
              <w:rPr>
                <w:vertAlign w:val="superscript"/>
              </w:rPr>
              <w:t>**</w:t>
            </w:r>
            <w:r>
              <w:t>. В зависимости от отраслевой направленности производства.</w:t>
            </w:r>
          </w:p>
        </w:tc>
      </w:tr>
    </w:tbl>
    <w:p w:rsidR="00000000" w:rsidRDefault="00F36ADD">
      <w:pPr>
        <w:ind w:firstLine="426"/>
      </w:pPr>
      <w:r>
        <w:rPr>
          <w:b/>
          <w:bCs/>
        </w:rPr>
        <w:t> </w:t>
      </w:r>
    </w:p>
    <w:p w:rsidR="00000000" w:rsidRDefault="00F36ADD">
      <w:pPr>
        <w:jc w:val="center"/>
      </w:pPr>
      <w:r>
        <w:rPr>
          <w:rStyle w:val="s1"/>
        </w:rPr>
        <w:t xml:space="preserve">Таблица А.4 - Предельно допустимое загрязнение воздуха для зеленых насаждений </w:t>
      </w:r>
      <w:r>
        <w:rPr>
          <w:rStyle w:val="s1"/>
        </w:rPr>
        <w:br/>
        <w:t>на территориях городов Республики Казахстан</w:t>
      </w:r>
    </w:p>
    <w:p w:rsidR="00000000" w:rsidRDefault="00F36ADD">
      <w:pPr>
        <w:ind w:firstLine="426"/>
        <w:jc w:val="center"/>
      </w:pPr>
      <w:r>
        <w:t> </w:t>
      </w:r>
    </w:p>
    <w:tbl>
      <w:tblPr>
        <w:tblW w:w="0" w:type="auto"/>
        <w:tblInd w:w="-2926" w:type="dxa"/>
        <w:tblCellMar>
          <w:left w:w="0" w:type="dxa"/>
          <w:right w:w="0" w:type="dxa"/>
        </w:tblCellMar>
        <w:tblLook w:val="04A0" w:firstRow="1" w:lastRow="0" w:firstColumn="1" w:lastColumn="0" w:noHBand="0" w:noVBand="1"/>
      </w:tblPr>
      <w:tblGrid>
        <w:gridCol w:w="5740"/>
        <w:gridCol w:w="3400"/>
        <w:gridCol w:w="3121"/>
      </w:tblGrid>
      <w:tr w:rsidR="00000000">
        <w:trPr>
          <w:trHeight w:val="20"/>
        </w:trPr>
        <w:tc>
          <w:tcPr>
            <w:tcW w:w="589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Ингредиент</w:t>
            </w:r>
          </w:p>
        </w:tc>
        <w:tc>
          <w:tcPr>
            <w:tcW w:w="6634"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Фитотоксичные ПДК (мкр. гр на куб. метр)</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Максимальные разовые</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Среднесуточные</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Диоксид серы</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0,100</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0,05</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Диоксид азота</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0,09</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0,05</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Аммиак</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0,35</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0,17</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Углеводороды</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0,65</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0,14</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Озон</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0,47</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0,24</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Бенз(а)пирен</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0,0002</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0,0001</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Угарный газ</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6,7</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3,3</w:t>
            </w:r>
          </w:p>
        </w:tc>
      </w:tr>
      <w:tr w:rsidR="00000000">
        <w:trPr>
          <w:trHeight w:val="20"/>
        </w:trPr>
        <w:tc>
          <w:tcPr>
            <w:tcW w:w="589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Бензол</w:t>
            </w:r>
          </w:p>
        </w:tc>
        <w:tc>
          <w:tcPr>
            <w:tcW w:w="3464" w:type="dxa"/>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0,1</w:t>
            </w:r>
          </w:p>
        </w:tc>
        <w:tc>
          <w:tcPr>
            <w:tcW w:w="3170" w:type="dxa"/>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0,05</w:t>
            </w:r>
          </w:p>
        </w:tc>
      </w:tr>
      <w:tr w:rsidR="00000000">
        <w:trPr>
          <w:trHeight w:val="20"/>
        </w:trPr>
        <w:tc>
          <w:tcPr>
            <w:tcW w:w="589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Взвешенные вещества (пром. пыль, цемент)</w:t>
            </w:r>
          </w:p>
        </w:tc>
        <w:tc>
          <w:tcPr>
            <w:tcW w:w="346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w:t>
            </w:r>
          </w:p>
        </w:tc>
        <w:tc>
          <w:tcPr>
            <w:tcW w:w="3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0,05</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Сероводород</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0,008</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0,008</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Формальдегид</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0,02</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0,003</w:t>
            </w:r>
          </w:p>
        </w:tc>
      </w:tr>
      <w:tr w:rsidR="00000000">
        <w:trPr>
          <w:trHeight w:val="20"/>
        </w:trPr>
        <w:tc>
          <w:tcPr>
            <w:tcW w:w="589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Хлор</w:t>
            </w:r>
          </w:p>
        </w:tc>
        <w:tc>
          <w:tcPr>
            <w:tcW w:w="3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0,025</w:t>
            </w:r>
          </w:p>
        </w:tc>
        <w:tc>
          <w:tcPr>
            <w:tcW w:w="31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0,015</w:t>
            </w:r>
          </w:p>
        </w:tc>
      </w:tr>
    </w:tbl>
    <w:p w:rsidR="00000000" w:rsidRDefault="00F36ADD">
      <w:pPr>
        <w:ind w:firstLine="426"/>
      </w:pPr>
      <w:r>
        <w:rPr>
          <w:b/>
          <w:bCs/>
        </w:rPr>
        <w:t> </w:t>
      </w:r>
    </w:p>
    <w:p w:rsidR="00000000" w:rsidRDefault="00F36ADD">
      <w:pPr>
        <w:jc w:val="center"/>
      </w:pPr>
      <w:r>
        <w:rPr>
          <w:rStyle w:val="s1"/>
        </w:rPr>
        <w:t>Таблица А.5 - Ожидаемый уровень снижения шума</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3924"/>
        <w:gridCol w:w="2569"/>
        <w:gridCol w:w="2842"/>
      </w:tblGrid>
      <w:tr w:rsidR="00000000">
        <w:trPr>
          <w:trHeight w:val="20"/>
        </w:trPr>
        <w:tc>
          <w:tcPr>
            <w:tcW w:w="210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Полоса зеленых насаждений</w:t>
            </w:r>
          </w:p>
        </w:tc>
        <w:tc>
          <w:tcPr>
            <w:tcW w:w="13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Ширина полосы, м</w:t>
            </w:r>
          </w:p>
        </w:tc>
        <w:tc>
          <w:tcPr>
            <w:tcW w:w="15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Снижение уровня звука L Азел в дБА</w:t>
            </w:r>
          </w:p>
        </w:tc>
      </w:tr>
      <w:tr w:rsidR="00000000">
        <w:trPr>
          <w:trHeight w:val="20"/>
        </w:trPr>
        <w:tc>
          <w:tcPr>
            <w:tcW w:w="21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Однорядная или шахматная посадка</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10-15</w:t>
            </w: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4-5</w:t>
            </w:r>
          </w:p>
        </w:tc>
      </w:tr>
      <w:tr w:rsidR="00000000">
        <w:trPr>
          <w:trHeight w:val="20"/>
        </w:trPr>
        <w:tc>
          <w:tcPr>
            <w:tcW w:w="21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 же</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16-20</w:t>
            </w: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5-8</w:t>
            </w:r>
          </w:p>
        </w:tc>
      </w:tr>
      <w:tr w:rsidR="00000000">
        <w:trPr>
          <w:trHeight w:val="20"/>
        </w:trPr>
        <w:tc>
          <w:tcPr>
            <w:tcW w:w="21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Двухрядная при расстояниях между рядами 3-5 м; ряды аналогичны однорядной посадке</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21-25</w:t>
            </w: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8-10</w:t>
            </w:r>
          </w:p>
        </w:tc>
      </w:tr>
      <w:tr w:rsidR="00000000">
        <w:trPr>
          <w:trHeight w:val="20"/>
        </w:trPr>
        <w:tc>
          <w:tcPr>
            <w:tcW w:w="21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Двух- или трехрядная при расстояниях между рядами 3 м; ряды аналогичны однорядной посадке</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26-30</w:t>
            </w:r>
          </w:p>
        </w:tc>
        <w:tc>
          <w:tcPr>
            <w:tcW w:w="1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 В шумозащитных насаждениях следует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калинолистная, жимолость татарская, дерен белый, ак</w:t>
            </w:r>
            <w:r>
              <w:t>ация желтая, боярышник сибирский.</w:t>
            </w:r>
          </w:p>
        </w:tc>
      </w:tr>
    </w:tbl>
    <w:p w:rsidR="00000000" w:rsidRDefault="00F36ADD">
      <w:pPr>
        <w:ind w:firstLine="426"/>
      </w:pPr>
      <w:r>
        <w:rPr>
          <w:b/>
          <w:bCs/>
        </w:rPr>
        <w:t> </w:t>
      </w:r>
    </w:p>
    <w:p w:rsidR="00000000" w:rsidRDefault="00F36ADD">
      <w:pPr>
        <w:jc w:val="center"/>
      </w:pPr>
      <w:r>
        <w:rPr>
          <w:rStyle w:val="s1"/>
        </w:rPr>
        <w:t>Таблица А.6 - Виды растений в различных категориях насаждений</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2202"/>
        <w:gridCol w:w="1137"/>
        <w:gridCol w:w="1262"/>
        <w:gridCol w:w="1208"/>
        <w:gridCol w:w="2102"/>
        <w:gridCol w:w="1424"/>
      </w:tblGrid>
      <w:tr w:rsidR="00000000">
        <w:trPr>
          <w:trHeight w:val="20"/>
        </w:trPr>
        <w:tc>
          <w:tcPr>
            <w:tcW w:w="127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Название растений</w:t>
            </w:r>
          </w:p>
        </w:tc>
        <w:tc>
          <w:tcPr>
            <w:tcW w:w="372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Рекомендации к использованию в следующих категориях насаждений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садов, парков</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скверов, бульваров</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улиц и дорог</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внутриквартальных</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специальных</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Деревья</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Ель колючая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Туя западная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только ул.,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Белая акация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Береза повислая</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только ул., с огр.</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Боярышник даурский</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Боярышник колючий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Боярышник кроваво-красный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Боярышник Максимовича</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Боярышник полумягкий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Боярышник приречный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Вишня обыкновенная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Вяз гладкий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Вяз приземистый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Груша обыкновенная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маг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Груша уссурийская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Дуб красный (северный)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Дуб черешчатый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Жостер слабительный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Ива белая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бульв.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только ул.</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Ива ломкая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Ива ломкая (ф. шаровидная)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Клен Гиннала</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Клен остролистный и его формы</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Клен серебристый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бульв.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Клен татарский</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Конский каштан обыкновенный</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Липа голландская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Липа мелколистная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Липа крупнолистная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Лох узколистный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Орех маньчжурский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бульв.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Рябина гибридная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Рябина обыкновенная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Рябина обыкновенная (ф. плакучая)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(только для улиц)</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Тополь бальзамический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Тополь белый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бульв.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только ул.,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Тополь берлинский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Тополь канадский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Тополь китайский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бульв.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только ул.</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Тополь советский (ф. пирамидальный)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Тополь черный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Черемуха Маака</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Черемуха обыкновенная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r>
      <w:tr w:rsidR="00000000">
        <w:trPr>
          <w:trHeight w:val="20"/>
        </w:trPr>
        <w:tc>
          <w:tcPr>
            <w:tcW w:w="1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Яблоня домашняя</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Яблоня Недзведского</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Яблоня ягодная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Ясень пенсильванский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Ясень обыкновенный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Кустарники</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Барбарис обыкновенный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Барбарис обыкновенный (ф. пурпурный)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Барбарис Тунберга</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Бирючина обыкновенная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Вишня войлочная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Дерен белый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Карагана древовидная (желтая акация)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Карагана кустарник</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Кизильник обыкновенный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Жимолость (различные виды)</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Ирга (различные виды)</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Калина гордовина</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Калина обыкновенная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бульв.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Кизильник блестящий</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Пузыреплодник калинолистный</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Роза (различные виды)</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Сирень венгерская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Сирень обыкновенная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Смородина альпийская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Смородина золотистая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Снежноягодник белый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Спирея (различные виды)</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Форзиция</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Чубушник венечный</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с огр.</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12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Девичий виноград</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7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 Сокращения в таблице: с огр. - с ограничением; скв. - сквер, ул. - улицы, бульв.- бульвар.</w:t>
            </w:r>
          </w:p>
        </w:tc>
      </w:tr>
    </w:tbl>
    <w:p w:rsidR="00000000" w:rsidRDefault="00F36ADD">
      <w:pPr>
        <w:ind w:firstLine="426"/>
      </w:pPr>
      <w:r>
        <w:rPr>
          <w:b/>
          <w:bCs/>
        </w:rPr>
        <w:t> </w:t>
      </w:r>
    </w:p>
    <w:p w:rsidR="00000000" w:rsidRDefault="00F36ADD">
      <w:pPr>
        <w:jc w:val="center"/>
      </w:pPr>
      <w:r>
        <w:rPr>
          <w:rStyle w:val="s1"/>
        </w:rPr>
        <w:t>Таблица А.7- Параметры и требования для сортировки крупномерных деревьев</w:t>
      </w:r>
    </w:p>
    <w:p w:rsidR="00000000" w:rsidRDefault="00F36ADD">
      <w:pPr>
        <w:ind w:firstLine="426"/>
        <w:jc w:val="center"/>
      </w:pPr>
      <w:r>
        <w:t> </w:t>
      </w:r>
    </w:p>
    <w:tbl>
      <w:tblPr>
        <w:tblW w:w="4995" w:type="pct"/>
        <w:tblCellMar>
          <w:left w:w="0" w:type="dxa"/>
          <w:right w:w="0" w:type="dxa"/>
        </w:tblCellMar>
        <w:tblLook w:val="04A0" w:firstRow="1" w:lastRow="0" w:firstColumn="1" w:lastColumn="0" w:noHBand="0" w:noVBand="1"/>
      </w:tblPr>
      <w:tblGrid>
        <w:gridCol w:w="2128"/>
        <w:gridCol w:w="5284"/>
        <w:gridCol w:w="1914"/>
      </w:tblGrid>
      <w:tr w:rsidR="00000000">
        <w:trPr>
          <w:trHeight w:val="20"/>
        </w:trPr>
        <w:tc>
          <w:tcPr>
            <w:tcW w:w="11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Наименование</w:t>
            </w:r>
          </w:p>
        </w:tc>
        <w:tc>
          <w:tcPr>
            <w:tcW w:w="28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Требования</w:t>
            </w:r>
          </w:p>
        </w:tc>
        <w:tc>
          <w:tcPr>
            <w:tcW w:w="10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Сортировка</w:t>
            </w:r>
            <w:r>
              <w:rPr>
                <w:vertAlign w:val="superscript"/>
              </w:rPr>
              <w:t>***</w:t>
            </w:r>
          </w:p>
        </w:tc>
      </w:tr>
      <w:tr w:rsidR="00000000">
        <w:trPr>
          <w:trHeight w:val="20"/>
        </w:trPr>
        <w:tc>
          <w:tcPr>
            <w:tcW w:w="114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Крупномерные деревья</w:t>
            </w:r>
            <w:r>
              <w:rPr>
                <w:vertAlign w:val="superscript"/>
              </w:rPr>
              <w:t>*</w:t>
            </w:r>
            <w:r>
              <w:t xml:space="preserve"> (Кр.д.), </w:t>
            </w:r>
            <w:r>
              <w:lastRenderedPageBreak/>
              <w:t>пересаженные дважды (2×Пер)</w:t>
            </w:r>
          </w:p>
        </w:tc>
        <w:tc>
          <w:tcPr>
            <w:tcW w:w="2833" w:type="pct"/>
            <w:tcBorders>
              <w:top w:val="nil"/>
              <w:left w:val="nil"/>
              <w:bottom w:val="nil"/>
              <w:right w:val="single" w:sz="8" w:space="0" w:color="auto"/>
            </w:tcBorders>
            <w:tcMar>
              <w:top w:w="0" w:type="dxa"/>
              <w:left w:w="40" w:type="dxa"/>
              <w:bottom w:w="0" w:type="dxa"/>
              <w:right w:w="40" w:type="dxa"/>
            </w:tcMar>
            <w:hideMark/>
          </w:tcPr>
          <w:p w:rsidR="00000000" w:rsidRDefault="00F36ADD">
            <w:r>
              <w:lastRenderedPageBreak/>
              <w:t xml:space="preserve">Кр.д должны быть предварительно пересажены два раза или быть приведены в равноценное </w:t>
            </w:r>
            <w:r>
              <w:lastRenderedPageBreak/>
              <w:t>состояние с помощью соответствующих агроприемов. Независимо от мероприятий они обознач</w:t>
            </w:r>
            <w:r>
              <w:t>аются как «пересаженные два раза». Они должны соответствовать одному из сортов, иметь прямой ствол не менее 180 см в высоту и выраженный центральный побег внутри кроны (исключения: шарообразная и плакучая формы). Кр.д. должны выращиваться на одном месте не</w:t>
            </w:r>
            <w:r>
              <w:t xml:space="preserve"> менее четырех вегетационных периодов после последней пересадки</w:t>
            </w:r>
          </w:p>
        </w:tc>
        <w:tc>
          <w:tcPr>
            <w:tcW w:w="1026" w:type="pct"/>
            <w:tcBorders>
              <w:top w:val="nil"/>
              <w:left w:val="nil"/>
              <w:bottom w:val="nil"/>
              <w:right w:val="single" w:sz="8" w:space="0" w:color="auto"/>
            </w:tcBorders>
            <w:tcMar>
              <w:top w:w="0" w:type="dxa"/>
              <w:left w:w="40" w:type="dxa"/>
              <w:bottom w:w="0" w:type="dxa"/>
              <w:right w:w="40" w:type="dxa"/>
            </w:tcMar>
            <w:hideMark/>
          </w:tcPr>
          <w:p w:rsidR="00000000" w:rsidRDefault="00F36ADD">
            <w:r>
              <w:lastRenderedPageBreak/>
              <w:t xml:space="preserve">Сортировка осуществляется </w:t>
            </w:r>
            <w:r>
              <w:lastRenderedPageBreak/>
              <w:t>по обхвату ствола (см): 8-10</w:t>
            </w:r>
            <w:r>
              <w:rPr>
                <w:vertAlign w:val="superscript"/>
              </w:rPr>
              <w:t>**</w:t>
            </w:r>
            <w:r>
              <w:t>, 10-12 Кол-во растений при транспортировке в пучках:</w:t>
            </w:r>
          </w:p>
        </w:tc>
      </w:tr>
      <w:tr w:rsidR="00000000">
        <w:trPr>
          <w:trHeight w:val="20"/>
        </w:trPr>
        <w:tc>
          <w:tcPr>
            <w:tcW w:w="11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Крупномерные деревья, пересаженные трижды (3×</w:t>
            </w:r>
            <w:r>
              <w:t>Пер), крупномерные деревья, пересаженные четыре раза и более</w:t>
            </w:r>
          </w:p>
        </w:tc>
        <w:tc>
          <w:tcPr>
            <w:tcW w:w="28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Кр.д.,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200 см. Дальнейшее удале</w:t>
            </w:r>
            <w:r>
              <w:t>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w:t>
            </w:r>
            <w:r>
              <w:t xml:space="preserve">е чем в предпоследний вегетационный период (исключением может быть, например, </w:t>
            </w:r>
            <w:r>
              <w:rPr>
                <w:i/>
                <w:iCs/>
              </w:rPr>
              <w:t>Робиния псевдоакация</w:t>
            </w:r>
            <w:r>
              <w:t>). Стрижка проводится по годичному приросту в установленные сроки. Поставляются с комом, упакованным в мешковину и металлическую сетку или в контейнерах.</w:t>
            </w:r>
          </w:p>
        </w:tc>
        <w:tc>
          <w:tcPr>
            <w:tcW w:w="10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Сорт</w:t>
            </w:r>
            <w:r>
              <w:t>ировка осуществляется по обхвату ствола (см): 10-12, 12-14, 14-16, 16-18, 18-20, 20-25 и далее с интервалом 5 см, при обхвате более 50 см - с интервалом 10 см.</w:t>
            </w:r>
          </w:p>
        </w:tc>
      </w:tr>
      <w:tr w:rsidR="00000000">
        <w:trPr>
          <w:trHeight w:val="20"/>
        </w:trPr>
        <w:tc>
          <w:tcPr>
            <w:tcW w:w="114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Аллейные деревья (Кр.д. для озеленения улиц)</w:t>
            </w:r>
          </w:p>
          <w:p w:rsidR="00000000" w:rsidRDefault="00F36ADD">
            <w:r>
              <w:t> </w:t>
            </w:r>
          </w:p>
        </w:tc>
        <w:tc>
          <w:tcPr>
            <w:tcW w:w="2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Аллейные деревья - это высокоствольные деревья, </w:t>
            </w:r>
            <w:r>
              <w:t>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w:t>
            </w:r>
          </w:p>
        </w:tc>
        <w:tc>
          <w:tcPr>
            <w:tcW w:w="102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Сортировка осуществляется как для Кр.д (3×Пер).</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36ADD"/>
        </w:tc>
        <w:tc>
          <w:tcPr>
            <w:tcW w:w="2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Высота ствола: </w:t>
            </w:r>
          </w:p>
          <w:p w:rsidR="00000000" w:rsidRDefault="00F36ADD">
            <w:r>
              <w:t>- при обхвате до 25 см не м</w:t>
            </w:r>
            <w:r>
              <w:t xml:space="preserve">енее 220 см </w:t>
            </w:r>
          </w:p>
          <w:p w:rsidR="00000000" w:rsidRDefault="00F36ADD">
            <w:r>
              <w:t>- при обхвате более 25 см не менее 250 см</w:t>
            </w:r>
          </w:p>
        </w:tc>
        <w:tc>
          <w:tcPr>
            <w:tcW w:w="0" w:type="auto"/>
            <w:vMerge/>
            <w:tcBorders>
              <w:top w:val="nil"/>
              <w:left w:val="nil"/>
              <w:bottom w:val="single" w:sz="8" w:space="0" w:color="auto"/>
              <w:right w:val="single" w:sz="8" w:space="0" w:color="auto"/>
            </w:tcBorders>
            <w:vAlign w:val="center"/>
            <w:hideMark/>
          </w:tcPr>
          <w:p w:rsidR="00000000" w:rsidRDefault="00F36ADD"/>
        </w:tc>
      </w:tr>
      <w:tr w:rsidR="00000000">
        <w:trPr>
          <w:trHeight w:val="20"/>
        </w:trPr>
        <w:tc>
          <w:tcPr>
            <w:tcW w:w="11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Кр.д с шарообразной и плакучей формой кроны</w:t>
            </w:r>
          </w:p>
        </w:tc>
        <w:tc>
          <w:tcPr>
            <w:tcW w:w="2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Так как у них нет прямых приростов ствола в крону, они выращиваются с различной длиной штамба</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Сортировка осуществляется как для Кр.д (3×Пер)</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 1</w:t>
            </w:r>
            <w:r>
              <w:rPr>
                <w:vertAlign w:val="superscript"/>
              </w:rPr>
              <w:t>*</w:t>
            </w:r>
            <w:r>
              <w:t xml:space="preserve">. Крупномерные деревья (Кр.д.) - это древесные растения с четкой границей между стволом и кроной. </w:t>
            </w:r>
          </w:p>
          <w:p w:rsidR="00000000" w:rsidRDefault="00F36ADD">
            <w:r>
              <w:t>ПРИМЕЧАНИЕ 2</w:t>
            </w:r>
            <w:r>
              <w:rPr>
                <w:vertAlign w:val="superscript"/>
              </w:rPr>
              <w:t>**</w:t>
            </w:r>
            <w:r>
              <w:t xml:space="preserve">. При пограничных значениях интервала посадочный материал следует относить к низшей группе показателей (например: при обхвате ствола 10 см - к </w:t>
            </w:r>
            <w:r>
              <w:t xml:space="preserve">интервалу 8-10 см, а не 10-12 см). </w:t>
            </w:r>
          </w:p>
          <w:p w:rsidR="00000000" w:rsidRDefault="00F36ADD">
            <w:r>
              <w:t>ПРИМЕЧАНИЕ 3</w:t>
            </w:r>
            <w:r>
              <w:rPr>
                <w:vertAlign w:val="superscript"/>
              </w:rPr>
              <w:t>***</w:t>
            </w:r>
            <w:r>
              <w:t xml:space="preserve">. В зависимости от вида, сорта и размеров могут быть указаны дополнительные данные по общей высоте и ширине кроны. </w:t>
            </w:r>
          </w:p>
          <w:p w:rsidR="00000000" w:rsidRDefault="00F36ADD">
            <w:r>
              <w:t xml:space="preserve">Ширина кроны в см: 60-100, 100-150, 150-200, 200-300, 300-400, 400-600. </w:t>
            </w:r>
          </w:p>
          <w:p w:rsidR="00000000" w:rsidRDefault="00F36ADD">
            <w:r>
              <w:t>Общая высота в с</w:t>
            </w:r>
            <w:r>
              <w:t xml:space="preserve">м: выше 300 см с интервалом 100 см, выше 500 см с интервалом 200 см, выше 900 см с интервалом 300 см. </w:t>
            </w:r>
          </w:p>
          <w:p w:rsidR="00000000" w:rsidRDefault="00F36ADD">
            <w:r>
              <w:t>Количество пересадок дается у растений с комом в металлической сетке (4×Пер, 5×Пер).</w:t>
            </w:r>
          </w:p>
        </w:tc>
      </w:tr>
    </w:tbl>
    <w:p w:rsidR="00000000" w:rsidRDefault="00F36ADD">
      <w:pPr>
        <w:ind w:firstLine="426"/>
      </w:pPr>
      <w:r>
        <w:rPr>
          <w:b/>
          <w:bCs/>
        </w:rPr>
        <w:t> </w:t>
      </w:r>
    </w:p>
    <w:p w:rsidR="00000000" w:rsidRDefault="00F36ADD">
      <w:pPr>
        <w:ind w:firstLine="426"/>
        <w:jc w:val="right"/>
      </w:pPr>
      <w:r>
        <w:rPr>
          <w:b/>
          <w:bCs/>
        </w:rPr>
        <w:t>ПРИЛОЖЕНИЕ Б</w:t>
      </w:r>
    </w:p>
    <w:p w:rsidR="00000000" w:rsidRDefault="00F36ADD">
      <w:pPr>
        <w:ind w:firstLine="426"/>
        <w:jc w:val="right"/>
      </w:pPr>
      <w:r>
        <w:rPr>
          <w:i/>
          <w:iCs/>
        </w:rPr>
        <w:lastRenderedPageBreak/>
        <w:t xml:space="preserve">(информационное) </w:t>
      </w:r>
    </w:p>
    <w:p w:rsidR="00000000" w:rsidRDefault="00F36ADD">
      <w:pPr>
        <w:ind w:firstLine="426"/>
        <w:jc w:val="right"/>
      </w:pPr>
      <w:r>
        <w:t> </w:t>
      </w:r>
    </w:p>
    <w:p w:rsidR="00000000" w:rsidRDefault="00F36ADD">
      <w:pPr>
        <w:ind w:firstLine="426"/>
        <w:jc w:val="right"/>
      </w:pPr>
      <w:r>
        <w:t> </w:t>
      </w:r>
    </w:p>
    <w:p w:rsidR="00000000" w:rsidRDefault="00F36ADD">
      <w:pPr>
        <w:jc w:val="center"/>
      </w:pPr>
      <w:r>
        <w:rPr>
          <w:rStyle w:val="s1"/>
        </w:rPr>
        <w:t>Почвенный покров</w:t>
      </w:r>
    </w:p>
    <w:p w:rsidR="00000000" w:rsidRDefault="00F36ADD">
      <w:pPr>
        <w:ind w:firstLine="426"/>
      </w:pPr>
      <w:r>
        <w:rPr>
          <w:b/>
          <w:bCs/>
        </w:rPr>
        <w:t> </w:t>
      </w:r>
    </w:p>
    <w:p w:rsidR="00000000" w:rsidRDefault="00F36ADD">
      <w:pPr>
        <w:ind w:firstLine="426"/>
        <w:jc w:val="both"/>
      </w:pPr>
      <w:r>
        <w:rPr>
          <w:b/>
          <w:bCs/>
        </w:rPr>
        <w:t>Б.1 Классификация почв</w:t>
      </w:r>
    </w:p>
    <w:p w:rsidR="00000000" w:rsidRDefault="00F36ADD">
      <w:pPr>
        <w:ind w:firstLine="426"/>
        <w:jc w:val="both"/>
      </w:pPr>
      <w:r>
        <w:t>Б.1.1 Почвенный покров в условиях населенных пунктов имеет различный генезис. В зависимости от типа городской почвы к ней применяются различные приемы ее окультуривания перед использованием ее в системе озеленения.</w:t>
      </w:r>
    </w:p>
    <w:p w:rsidR="00000000" w:rsidRDefault="00F36ADD">
      <w:pPr>
        <w:ind w:firstLine="426"/>
        <w:jc w:val="both"/>
      </w:pPr>
      <w:r>
        <w:t>Б.1.2 Естественные</w:t>
      </w:r>
      <w:r>
        <w:t xml:space="preserve"> почвы - почвы, сформировавшиеся в соответствующих природных условиях и имеющие полный профиль (все генетические горизонты, соответствующие условиям их формирования).</w:t>
      </w:r>
    </w:p>
    <w:p w:rsidR="00000000" w:rsidRDefault="00F36ADD">
      <w:pPr>
        <w:ind w:firstLine="426"/>
        <w:jc w:val="both"/>
      </w:pPr>
      <w:r>
        <w:t>Б.1.3 Поверхностно преобразованные почвы - почвы, сформировавшиеся вследствие уничтожения</w:t>
      </w:r>
      <w:r>
        <w:t xml:space="preserve"> либо замены насыпными незагрязненными грунтами генетических горизонтов верхней части профиля (до 40 см) естественных почв.</w:t>
      </w:r>
    </w:p>
    <w:p w:rsidR="00000000" w:rsidRDefault="00F36ADD">
      <w:pPr>
        <w:ind w:firstLine="426"/>
        <w:jc w:val="both"/>
      </w:pPr>
      <w:r>
        <w:t>Б.1.4 Урбаноземы - почвы искусственного происхождения, созданные в процессе формирования городской среды. Различают следующие виды:</w:t>
      </w:r>
    </w:p>
    <w:p w:rsidR="00000000" w:rsidRDefault="00F36ADD">
      <w:pPr>
        <w:ind w:firstLine="426"/>
        <w:jc w:val="both"/>
      </w:pPr>
      <w:r>
        <w:t>Урбаноземы-конструктоземы - почвы, формирующиеся на специально отсыпанных грунтах со слоистой вертикальной структурой, задаваемой исходя из гидрогеологических условий, характера формируемых на них зеленых насаждений и положения в рельефе.</w:t>
      </w:r>
    </w:p>
    <w:p w:rsidR="00000000" w:rsidRDefault="00F36ADD">
      <w:pPr>
        <w:ind w:firstLine="426"/>
        <w:jc w:val="both"/>
      </w:pPr>
      <w:r>
        <w:t>Урбаноземы-почвог</w:t>
      </w:r>
      <w:r>
        <w:t>рунты - почвы, формирующиеся на антропогенно нарушенных (с инородными включениями, нарушенным сложением и т.д.) грунтах, не подвергавшихся целенаправленной рекультивации на всю глубину корнеобитаемого слоя (до 1,5 метров) и имеющие гумуссированный горизонт</w:t>
      </w:r>
      <w:r>
        <w:t xml:space="preserve"> (искусственно созданный либо сформированный почвообразующими процессами in situ).</w:t>
      </w:r>
    </w:p>
    <w:p w:rsidR="00000000" w:rsidRDefault="00F36ADD">
      <w:pPr>
        <w:ind w:firstLine="426"/>
        <w:jc w:val="both"/>
      </w:pPr>
      <w:r>
        <w:t>Б.1.5 При формировании зеленых насаждений на территориях, нарушенных атропогенной деятельностью, на всем озеленяемом участке необходимо создать послойную толщу почвообразующ</w:t>
      </w:r>
      <w:r>
        <w:t>его грунта, способную удовлетворить потребность растений в элементах питания, влаге и воздухе. При установлении наличия загрязнения почвенного покрова разной степени при проведении работ по созданию и реконструкции зеленых насаждений осуществляется его рек</w:t>
      </w:r>
      <w:r>
        <w:t>ультивации в соответствии с уровнем и качественными параметрами загрязнения (</w:t>
      </w:r>
      <w:hyperlink r:id="rId164" w:anchor="sub_id=21" w:history="1">
        <w:r>
          <w:rPr>
            <w:rStyle w:val="a4"/>
            <w:color w:val="0000FF"/>
            <w:u w:val="single"/>
          </w:rPr>
          <w:t>таблица Б.1</w:t>
        </w:r>
      </w:hyperlink>
      <w:r>
        <w:t>).</w:t>
      </w:r>
    </w:p>
    <w:p w:rsidR="00000000" w:rsidRDefault="00F36ADD">
      <w:pPr>
        <w:ind w:firstLine="426"/>
        <w:jc w:val="both"/>
      </w:pPr>
      <w:r>
        <w:t xml:space="preserve">Б.1.6 Под деревья и кустарники, при их посадке, делаются посадочные ямы, заполняемые </w:t>
      </w:r>
      <w:r>
        <w:t>плодородным грунтом. При формировании слоя почвообразующего грунта на территории, сложенной неблагоприятными для растений грунтами, его необходимо изолировать слоем тяжелых суглинков мощностью 0,5 м, выполняющим роль механического и сорбционного геохимичес</w:t>
      </w:r>
      <w:r>
        <w:t>кого барьера. При загрязнении тяжелыми металлами в грунт рекомендуется вносить углекислую известь в количестве не менее 6% от веса.</w:t>
      </w:r>
    </w:p>
    <w:p w:rsidR="00000000" w:rsidRDefault="00F36ADD">
      <w:pPr>
        <w:ind w:firstLine="426"/>
        <w:jc w:val="both"/>
      </w:pPr>
      <w:r>
        <w:t>Б.1.7 Поверхность почвенного покрова и толща почвообразующего грунта по всей мощности должны быть очищены от бытового и стро</w:t>
      </w:r>
      <w:r>
        <w:t>ительного мусора. Используемый для создания почвообразующего грунта субстрат должен иметь слабую степень засоренности сорняками (</w:t>
      </w:r>
      <w:hyperlink r:id="rId165" w:anchor="sub_id=22" w:history="1">
        <w:r>
          <w:rPr>
            <w:rStyle w:val="a4"/>
            <w:color w:val="0000FF"/>
            <w:u w:val="single"/>
          </w:rPr>
          <w:t>таблица Б.2</w:t>
        </w:r>
      </w:hyperlink>
      <w:r>
        <w:t>).</w:t>
      </w:r>
    </w:p>
    <w:p w:rsidR="00000000" w:rsidRDefault="00F36ADD">
      <w:pPr>
        <w:ind w:firstLine="426"/>
        <w:jc w:val="both"/>
      </w:pPr>
      <w:r>
        <w:t>Б.1.8 При проектировании почвенно</w:t>
      </w:r>
      <w:r>
        <w:t>го покрова необходимо учитывать уровень химического загрязнения почвообразующего грунта. Степень его загрязнения определяется в санитарном и биологическом аспектах. Характеристика санитарного состояния дается для поверхностного слоя, входящего в сферу жизн</w:t>
      </w:r>
      <w:r>
        <w:t>едеятельности человека и домашних животных. Мощность этого слоя составляет 30 см. Биологическая характеристика дается для слоя почвы, обеспечивающего нормальное развитие растений и составляющего 2 м (</w:t>
      </w:r>
      <w:hyperlink r:id="rId166" w:anchor="sub_id=23" w:history="1">
        <w:r>
          <w:rPr>
            <w:rStyle w:val="a4"/>
            <w:color w:val="0000FF"/>
            <w:u w:val="single"/>
          </w:rPr>
          <w:t>таблицы Б.3</w:t>
        </w:r>
      </w:hyperlink>
      <w:r>
        <w:t xml:space="preserve">, </w:t>
      </w:r>
      <w:hyperlink r:id="rId167" w:anchor="sub_id=25" w:history="1">
        <w:r>
          <w:rPr>
            <w:rStyle w:val="a4"/>
            <w:color w:val="0000FF"/>
            <w:u w:val="single"/>
          </w:rPr>
          <w:t>Б.5, Б.6</w:t>
        </w:r>
      </w:hyperlink>
      <w:r>
        <w:t>).</w:t>
      </w:r>
    </w:p>
    <w:p w:rsidR="00000000" w:rsidRDefault="00F36ADD">
      <w:pPr>
        <w:ind w:firstLine="426"/>
        <w:jc w:val="both"/>
      </w:pPr>
      <w:r>
        <w:t>Б.1.9 Санитарная оценка почвы проводится сравнением фактических концентраций загрязняющего вещества с ПДК или ОДК, установленных</w:t>
      </w:r>
      <w:r>
        <w:t xml:space="preserve"> органами санитарно-</w:t>
      </w:r>
      <w:r>
        <w:lastRenderedPageBreak/>
        <w:t>эпидемиологического надзора. Биологическая оценка уровня загрязнения почвы проводится сравнением фактических концентраций загрязняющих веществ с фитотоксичными ПДК (</w:t>
      </w:r>
      <w:hyperlink r:id="rId168" w:anchor="sub_id=24" w:history="1">
        <w:r>
          <w:rPr>
            <w:rStyle w:val="a4"/>
            <w:color w:val="0000FF"/>
            <w:u w:val="single"/>
          </w:rPr>
          <w:t>таблицы Б.4</w:t>
        </w:r>
      </w:hyperlink>
      <w:r>
        <w:t xml:space="preserve">, </w:t>
      </w:r>
      <w:hyperlink r:id="rId169" w:anchor="sub_id=28" w:history="1">
        <w:r>
          <w:rPr>
            <w:rStyle w:val="a4"/>
            <w:color w:val="0000FF"/>
            <w:u w:val="single"/>
          </w:rPr>
          <w:t>Б.8</w:t>
        </w:r>
      </w:hyperlink>
      <w:r>
        <w:t>).</w:t>
      </w:r>
    </w:p>
    <w:p w:rsidR="00000000" w:rsidRDefault="00F36ADD">
      <w:pPr>
        <w:ind w:firstLine="426"/>
        <w:jc w:val="both"/>
      </w:pPr>
      <w:r>
        <w:t>Б.1.10 Биологический уровень загрязнения почвы определяется по среднему уровню содержания в ней приоритетного компонента загрязнения в границах мини</w:t>
      </w:r>
      <w:r>
        <w:t>мального почвенного выдела.</w:t>
      </w:r>
    </w:p>
    <w:p w:rsidR="00000000" w:rsidRDefault="00F36ADD">
      <w:pPr>
        <w:ind w:firstLine="426"/>
        <w:jc w:val="both"/>
      </w:pPr>
      <w:r>
        <w:t>Б.1.11 При формировании конструктоземов на сильно фильтрующих грунтах (песок, грунты с включениями гравия, щебенки более 40%) между ними и конструктоземами необходимо укладывать водозадерживающий слой из средних и тяжелых суглин</w:t>
      </w:r>
      <w:r>
        <w:t>ков мощностью 20 см. При формировании конструктоземов на склонах крутизной 3-5° необходимо предусматривать укладку на поверхности слоя средне- или тяжелосуглинистого грунта (аллювиального) мощностью 30 см. При формировании конструктоземов на протяженных ск</w:t>
      </w:r>
      <w:r>
        <w:t>лонах крутизной более 5° необходимо проводить их обрешетку с заполнением ячеек плодородным тяжелосуглинистым грунтом. Мощность насыпаемого грунта - 15-20 см.</w:t>
      </w:r>
    </w:p>
    <w:p w:rsidR="00000000" w:rsidRDefault="00F36ADD">
      <w:pPr>
        <w:ind w:firstLine="426"/>
        <w:jc w:val="both"/>
      </w:pPr>
      <w:r>
        <w:t xml:space="preserve">Б.1.12 На поверхностно подтопленных территориях с уровнем залегания безнапорных грунтовых вод 2-3 </w:t>
      </w:r>
      <w:r>
        <w:t>метра почвенный покров конструируется с учетом требований по дренированию корнеобитаемого слоя для различных типов зеленых насаждений путем создания прослоя грунта, создающего разрыв каймы капиллярного поднятия. Величина прослоя и глубина его заложения опр</w:t>
      </w:r>
      <w:r>
        <w:t>еделяются в соответствии с таблицей. При проектировании системы зеленых насаждений на поверхностно подтопленных территориях с глубиной залегания грунтовых вод менее 2 метров необходимо закладывать регулярный дренаж в совокупности с конструированием слоя, с</w:t>
      </w:r>
      <w:r>
        <w:t>оздающего разрыв капиллярной каймы.</w:t>
      </w:r>
    </w:p>
    <w:p w:rsidR="00000000" w:rsidRDefault="00F36ADD">
      <w:pPr>
        <w:ind w:firstLine="426"/>
        <w:jc w:val="both"/>
      </w:pPr>
      <w:r>
        <w:t>Б.1.13 При проектировании системы зеленых насаждений на территориях, подверженных ветровой эрозии (скорости ветра более 3 м/с), необходимо предусматривать создание дернового горизонта плотностью 80-90%. При создании почв</w:t>
      </w:r>
      <w:r>
        <w:t>енной толщи для устройства спортивных газонов применяют четыре типа конструкций в зависимости от фильтрующей способности подстилающего грунта (</w:t>
      </w:r>
      <w:hyperlink r:id="rId170" w:anchor="sub_id=27" w:history="1">
        <w:r>
          <w:rPr>
            <w:rStyle w:val="a4"/>
            <w:color w:val="0000FF"/>
            <w:u w:val="single"/>
          </w:rPr>
          <w:t>таблица Б.7</w:t>
        </w:r>
      </w:hyperlink>
      <w:r>
        <w:t>).</w:t>
      </w:r>
    </w:p>
    <w:p w:rsidR="00000000" w:rsidRDefault="00F36ADD">
      <w:pPr>
        <w:ind w:firstLine="426"/>
        <w:jc w:val="both"/>
      </w:pPr>
      <w:r>
        <w:rPr>
          <w:b/>
          <w:bCs/>
        </w:rPr>
        <w:t> </w:t>
      </w:r>
    </w:p>
    <w:p w:rsidR="00000000" w:rsidRDefault="00F36ADD">
      <w:pPr>
        <w:jc w:val="center"/>
      </w:pPr>
      <w:r>
        <w:rPr>
          <w:rStyle w:val="s1"/>
        </w:rPr>
        <w:t>Таблица Б.1 - Требования к качеству городских почв</w:t>
      </w:r>
    </w:p>
    <w:p w:rsidR="00000000" w:rsidRDefault="00F36ADD">
      <w:pPr>
        <w:ind w:firstLine="426"/>
      </w:pPr>
      <w:r>
        <w:t> </w:t>
      </w:r>
    </w:p>
    <w:tbl>
      <w:tblPr>
        <w:tblW w:w="5000" w:type="pct"/>
        <w:tblCellMar>
          <w:left w:w="0" w:type="dxa"/>
          <w:right w:w="0" w:type="dxa"/>
        </w:tblCellMar>
        <w:tblLook w:val="04A0" w:firstRow="1" w:lastRow="0" w:firstColumn="1" w:lastColumn="0" w:noHBand="0" w:noVBand="1"/>
      </w:tblPr>
      <w:tblGrid>
        <w:gridCol w:w="3789"/>
        <w:gridCol w:w="2026"/>
        <w:gridCol w:w="1886"/>
        <w:gridCol w:w="1634"/>
      </w:tblGrid>
      <w:tr w:rsidR="00000000">
        <w:trPr>
          <w:trHeight w:val="20"/>
        </w:trPr>
        <w:tc>
          <w:tcPr>
            <w:tcW w:w="203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Показатели почвообр. слоев и горизонтов</w:t>
            </w:r>
          </w:p>
        </w:tc>
        <w:tc>
          <w:tcPr>
            <w:tcW w:w="297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Глубины слоев,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0-20</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20-50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50-150</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1</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Физические свойства</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Содержание физической глины &lt; 0.01 мм</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30-40</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20-40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30-40</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Плотность сложения г/см</w:t>
            </w:r>
            <w:r>
              <w:rPr>
                <w:vertAlign w:val="superscript"/>
              </w:rPr>
              <w:t>3</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0.8-1.1</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1.0-1.2</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1.2-1.3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Химические свойства</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Гумус в/о</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4-5</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1-0.5</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рН</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5.5-6.5</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5.5-7.0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5.0-6.0</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Содержание ТМ отношение к ОДК</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Величина PB мкр/z</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20</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20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20</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Мин. уровень обеспеченности минеральным азотом мг/100 г почвы</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Содержание Р</w:t>
            </w:r>
            <w:r>
              <w:rPr>
                <w:vertAlign w:val="subscript"/>
              </w:rPr>
              <w:t>2</w:t>
            </w:r>
            <w:r>
              <w:t>О</w:t>
            </w:r>
            <w:r>
              <w:rPr>
                <w:vertAlign w:val="subscript"/>
              </w:rPr>
              <w:t>5</w:t>
            </w:r>
            <w:r>
              <w:t xml:space="preserve"> и К</w:t>
            </w:r>
            <w:r>
              <w:rPr>
                <w:vertAlign w:val="subscript"/>
              </w:rPr>
              <w:t>2</w:t>
            </w:r>
            <w:r>
              <w:t>О мг/100 г почвы (мин. допустимое/оптим.)</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10/40 и 35</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10/20 и 15</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10/15 и 10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Биологические свойства</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Величина патогенных микроорганизмов, шт./грамм почвы</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Разнообразие мезофауны, шт. видов</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Фитотоксичность, кратность к фон</w:t>
            </w:r>
            <w:r>
              <w:t>у</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1.1</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1.1-1.3</w:t>
            </w:r>
          </w:p>
        </w:tc>
        <w:tc>
          <w:tcPr>
            <w:tcW w:w="8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1.1-1.3</w:t>
            </w:r>
          </w:p>
        </w:tc>
      </w:tr>
    </w:tbl>
    <w:p w:rsidR="00000000" w:rsidRDefault="00F36ADD">
      <w:pPr>
        <w:ind w:firstLine="426"/>
      </w:pPr>
      <w:r>
        <w:rPr>
          <w:b/>
          <w:bCs/>
        </w:rPr>
        <w:t> </w:t>
      </w:r>
    </w:p>
    <w:p w:rsidR="00000000" w:rsidRDefault="00F36ADD">
      <w:pPr>
        <w:jc w:val="center"/>
      </w:pPr>
      <w:r>
        <w:rPr>
          <w:rStyle w:val="s1"/>
        </w:rPr>
        <w:t>Таблица Б.2 - Уровень загрязнения сорняками</w:t>
      </w:r>
    </w:p>
    <w:p w:rsidR="00000000" w:rsidRDefault="00F36ADD">
      <w:pPr>
        <w:ind w:firstLine="426"/>
        <w:jc w:val="center"/>
      </w:pPr>
      <w:r>
        <w:t> </w:t>
      </w:r>
    </w:p>
    <w:tbl>
      <w:tblPr>
        <w:tblW w:w="0" w:type="auto"/>
        <w:tblCellMar>
          <w:left w:w="0" w:type="dxa"/>
          <w:right w:w="0" w:type="dxa"/>
        </w:tblCellMar>
        <w:tblLook w:val="04A0" w:firstRow="1" w:lastRow="0" w:firstColumn="1" w:lastColumn="0" w:noHBand="0" w:noVBand="1"/>
      </w:tblPr>
      <w:tblGrid>
        <w:gridCol w:w="4668"/>
        <w:gridCol w:w="4667"/>
      </w:tblGrid>
      <w:tr w:rsidR="00000000">
        <w:trPr>
          <w:trHeight w:val="20"/>
        </w:trPr>
        <w:tc>
          <w:tcPr>
            <w:tcW w:w="480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Степень загрязнения</w:t>
            </w:r>
          </w:p>
        </w:tc>
        <w:tc>
          <w:tcPr>
            <w:tcW w:w="480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Количество сорняков (шт. на кв. м)</w:t>
            </w:r>
          </w:p>
        </w:tc>
      </w:tr>
      <w:tr w:rsidR="00000000">
        <w:trPr>
          <w:trHeight w:val="20"/>
        </w:trPr>
        <w:tc>
          <w:tcPr>
            <w:tcW w:w="48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Слабая</w:t>
            </w:r>
          </w:p>
        </w:tc>
        <w:tc>
          <w:tcPr>
            <w:tcW w:w="4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w:t>
            </w:r>
          </w:p>
        </w:tc>
      </w:tr>
      <w:tr w:rsidR="00000000">
        <w:trPr>
          <w:trHeight w:val="20"/>
        </w:trPr>
        <w:tc>
          <w:tcPr>
            <w:tcW w:w="48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Средняя</w:t>
            </w:r>
          </w:p>
        </w:tc>
        <w:tc>
          <w:tcPr>
            <w:tcW w:w="4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51-100</w:t>
            </w:r>
          </w:p>
        </w:tc>
      </w:tr>
      <w:tr w:rsidR="00000000">
        <w:trPr>
          <w:trHeight w:val="20"/>
        </w:trPr>
        <w:tc>
          <w:tcPr>
            <w:tcW w:w="48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Сильная</w:t>
            </w:r>
          </w:p>
        </w:tc>
        <w:tc>
          <w:tcPr>
            <w:tcW w:w="4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более 100</w:t>
            </w:r>
          </w:p>
        </w:tc>
      </w:tr>
    </w:tbl>
    <w:p w:rsidR="00000000" w:rsidRDefault="00F36ADD">
      <w:pPr>
        <w:ind w:firstLine="426"/>
      </w:pPr>
      <w:r>
        <w:rPr>
          <w:b/>
          <w:bCs/>
        </w:rPr>
        <w:t> </w:t>
      </w:r>
    </w:p>
    <w:p w:rsidR="00000000" w:rsidRDefault="00F36ADD">
      <w:pPr>
        <w:jc w:val="center"/>
      </w:pPr>
      <w:r>
        <w:rPr>
          <w:rStyle w:val="s1"/>
        </w:rPr>
        <w:t>Таблица Б.3 - Биологические показатели почв и их критерии оценки</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3161"/>
        <w:gridCol w:w="1110"/>
        <w:gridCol w:w="1534"/>
        <w:gridCol w:w="1340"/>
        <w:gridCol w:w="1067"/>
        <w:gridCol w:w="1123"/>
      </w:tblGrid>
      <w:tr w:rsidR="00000000">
        <w:trPr>
          <w:trHeight w:val="20"/>
        </w:trPr>
        <w:tc>
          <w:tcPr>
            <w:tcW w:w="185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Биологические показатели</w:t>
            </w:r>
          </w:p>
        </w:tc>
        <w:tc>
          <w:tcPr>
            <w:tcW w:w="6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Удовлетв. ситуация</w:t>
            </w:r>
          </w:p>
        </w:tc>
        <w:tc>
          <w:tcPr>
            <w:tcW w:w="6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Относительно удовлетворит, ситуация</w:t>
            </w:r>
          </w:p>
        </w:tc>
        <w:tc>
          <w:tcPr>
            <w:tcW w:w="6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Неудовлетв. ситуация</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Чрезвыч. экологич. ситуация</w:t>
            </w:r>
          </w:p>
        </w:tc>
        <w:tc>
          <w:tcPr>
            <w:tcW w:w="6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Экологич. бедствие</w:t>
            </w:r>
          </w:p>
        </w:tc>
      </w:tr>
      <w:tr w:rsidR="00000000">
        <w:trPr>
          <w:trHeight w:val="20"/>
        </w:trPr>
        <w:tc>
          <w:tcPr>
            <w:tcW w:w="1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1</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w:t>
            </w:r>
          </w:p>
        </w:tc>
      </w:tr>
      <w:tr w:rsidR="00000000">
        <w:trPr>
          <w:trHeight w:val="20"/>
        </w:trPr>
        <w:tc>
          <w:tcPr>
            <w:tcW w:w="1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Уровень активности микробиомассы (кратность уменьшения)</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5</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50-100</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w:t>
            </w:r>
          </w:p>
        </w:tc>
      </w:tr>
      <w:tr w:rsidR="00000000">
        <w:trPr>
          <w:trHeight w:val="20"/>
        </w:trPr>
        <w:tc>
          <w:tcPr>
            <w:tcW w:w="1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Количество патогенных микроорганизмов в 1 г почвы</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r>
              <w:rPr>
                <w:vertAlign w:val="superscript"/>
              </w:rPr>
              <w:t>2</w:t>
            </w:r>
            <w:r>
              <w:t>-10</w:t>
            </w:r>
            <w:r>
              <w:rPr>
                <w:vertAlign w:val="superscript"/>
              </w:rPr>
              <w:t>3</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r>
              <w:rPr>
                <w:vertAlign w:val="superscript"/>
              </w:rPr>
              <w:t>3</w:t>
            </w:r>
            <w:r>
              <w:t>-10</w:t>
            </w:r>
            <w:r>
              <w:rPr>
                <w:vertAlign w:val="superscript"/>
              </w:rPr>
              <w:t>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r>
              <w:rPr>
                <w:vertAlign w:val="superscript"/>
              </w:rPr>
              <w:t>5</w:t>
            </w:r>
            <w:r>
              <w:t>-10</w:t>
            </w:r>
            <w:r>
              <w:rPr>
                <w:vertAlign w:val="superscript"/>
              </w:rPr>
              <w:t>6</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w:t>
            </w:r>
            <w:r>
              <w:rPr>
                <w:vertAlign w:val="superscript"/>
              </w:rPr>
              <w:t>6</w:t>
            </w:r>
          </w:p>
        </w:tc>
      </w:tr>
      <w:tr w:rsidR="00000000">
        <w:trPr>
          <w:trHeight w:val="20"/>
        </w:trPr>
        <w:tc>
          <w:tcPr>
            <w:tcW w:w="1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Содержание яиц гельминтов в 1 кг почвы</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до 10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50-100</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w:t>
            </w:r>
          </w:p>
        </w:tc>
      </w:tr>
      <w:tr w:rsidR="00000000">
        <w:trPr>
          <w:trHeight w:val="20"/>
        </w:trPr>
        <w:tc>
          <w:tcPr>
            <w:tcW w:w="1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Колититр</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1,0-0,01</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0,01-0,05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0,05-0,001</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0,001</w:t>
            </w:r>
          </w:p>
        </w:tc>
      </w:tr>
      <w:tr w:rsidR="00000000">
        <w:trPr>
          <w:trHeight w:val="20"/>
        </w:trPr>
        <w:tc>
          <w:tcPr>
            <w:tcW w:w="1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Фитотоксичность (кратность)</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1,1</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1,1-1,3</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1,3-1,6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1,6-2,0</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2,0</w:t>
            </w:r>
          </w:p>
        </w:tc>
      </w:tr>
      <w:tr w:rsidR="00000000">
        <w:trPr>
          <w:trHeight w:val="20"/>
        </w:trPr>
        <w:tc>
          <w:tcPr>
            <w:tcW w:w="1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Генотоксичность (рост числа мутаций в сравнении с контролем)</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&lt; 2</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2-10</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100-1000</w:t>
            </w:r>
          </w:p>
        </w:tc>
        <w:tc>
          <w:tcPr>
            <w:tcW w:w="6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w:t>
            </w:r>
          </w:p>
        </w:tc>
      </w:tr>
    </w:tbl>
    <w:p w:rsidR="00000000" w:rsidRDefault="00F36ADD">
      <w:pPr>
        <w:ind w:firstLine="426"/>
      </w:pPr>
      <w:r>
        <w:rPr>
          <w:b/>
          <w:bCs/>
        </w:rPr>
        <w:t> </w:t>
      </w:r>
    </w:p>
    <w:p w:rsidR="00000000" w:rsidRDefault="00F36ADD">
      <w:pPr>
        <w:jc w:val="center"/>
      </w:pPr>
      <w:r>
        <w:rPr>
          <w:rStyle w:val="s1"/>
        </w:rPr>
        <w:t>Таблица Б.4 - Фитотоксичность грунтов, ОДК (мгр. на кг)</w:t>
      </w:r>
    </w:p>
    <w:p w:rsidR="00000000" w:rsidRDefault="00F36ADD">
      <w:pPr>
        <w:ind w:firstLine="426"/>
        <w:jc w:val="center"/>
      </w:pPr>
      <w:r>
        <w:t> </w:t>
      </w:r>
    </w:p>
    <w:tbl>
      <w:tblPr>
        <w:tblW w:w="0" w:type="auto"/>
        <w:tblCellMar>
          <w:left w:w="0" w:type="dxa"/>
          <w:right w:w="0" w:type="dxa"/>
        </w:tblCellMar>
        <w:tblLook w:val="04A0" w:firstRow="1" w:lastRow="0" w:firstColumn="1" w:lastColumn="0" w:noHBand="0" w:noVBand="1"/>
      </w:tblPr>
      <w:tblGrid>
        <w:gridCol w:w="1344"/>
        <w:gridCol w:w="1326"/>
        <w:gridCol w:w="1336"/>
        <w:gridCol w:w="1326"/>
        <w:gridCol w:w="1326"/>
        <w:gridCol w:w="1314"/>
        <w:gridCol w:w="1363"/>
      </w:tblGrid>
      <w:tr w:rsidR="00000000">
        <w:trPr>
          <w:trHeight w:val="20"/>
        </w:trPr>
        <w:tc>
          <w:tcPr>
            <w:tcW w:w="138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Cr</w:t>
            </w:r>
          </w:p>
        </w:tc>
        <w:tc>
          <w:tcPr>
            <w:tcW w:w="136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Ni</w:t>
            </w:r>
          </w:p>
        </w:tc>
        <w:tc>
          <w:tcPr>
            <w:tcW w:w="137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Zn</w:t>
            </w:r>
          </w:p>
        </w:tc>
        <w:tc>
          <w:tcPr>
            <w:tcW w:w="136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Pb</w:t>
            </w:r>
          </w:p>
        </w:tc>
        <w:tc>
          <w:tcPr>
            <w:tcW w:w="136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Cu</w:t>
            </w:r>
          </w:p>
        </w:tc>
        <w:tc>
          <w:tcPr>
            <w:tcW w:w="135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As</w:t>
            </w:r>
          </w:p>
        </w:tc>
        <w:tc>
          <w:tcPr>
            <w:tcW w:w="14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CL</w:t>
            </w:r>
          </w:p>
        </w:tc>
      </w:tr>
      <w:tr w:rsidR="00000000">
        <w:trPr>
          <w:trHeight w:val="20"/>
        </w:trPr>
        <w:tc>
          <w:tcPr>
            <w:tcW w:w="13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36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37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300</w:t>
            </w:r>
          </w:p>
        </w:tc>
        <w:tc>
          <w:tcPr>
            <w:tcW w:w="136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36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c>
          <w:tcPr>
            <w:tcW w:w="14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r>
    </w:tbl>
    <w:p w:rsidR="00000000" w:rsidRDefault="00F36ADD">
      <w:pPr>
        <w:ind w:firstLine="426"/>
      </w:pPr>
      <w:r>
        <w:rPr>
          <w:b/>
          <w:bCs/>
        </w:rPr>
        <w:t> </w:t>
      </w:r>
    </w:p>
    <w:p w:rsidR="00000000" w:rsidRDefault="00F36ADD">
      <w:pPr>
        <w:jc w:val="center"/>
      </w:pPr>
      <w:r>
        <w:rPr>
          <w:rStyle w:val="s1"/>
        </w:rPr>
        <w:t>Таблица Б.5 - Уровни загрязнения почв, при которых подавляется ферментативная активность почв (в мгр. на 100 гр)</w:t>
      </w:r>
    </w:p>
    <w:p w:rsidR="00000000" w:rsidRDefault="00F36ADD">
      <w:pPr>
        <w:ind w:firstLine="426"/>
        <w:jc w:val="center"/>
      </w:pPr>
      <w:r>
        <w:t> </w:t>
      </w:r>
    </w:p>
    <w:tbl>
      <w:tblPr>
        <w:tblW w:w="0" w:type="auto"/>
        <w:tblCellMar>
          <w:left w:w="0" w:type="dxa"/>
          <w:right w:w="0" w:type="dxa"/>
        </w:tblCellMar>
        <w:tblLook w:val="04A0" w:firstRow="1" w:lastRow="0" w:firstColumn="1" w:lastColumn="0" w:noHBand="0" w:noVBand="1"/>
      </w:tblPr>
      <w:tblGrid>
        <w:gridCol w:w="2506"/>
        <w:gridCol w:w="2282"/>
        <w:gridCol w:w="2268"/>
        <w:gridCol w:w="2279"/>
      </w:tblGrid>
      <w:tr w:rsidR="00000000">
        <w:trPr>
          <w:trHeight w:val="20"/>
        </w:trPr>
        <w:tc>
          <w:tcPr>
            <w:tcW w:w="255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Ферменты*</w:t>
            </w:r>
          </w:p>
        </w:tc>
        <w:tc>
          <w:tcPr>
            <w:tcW w:w="7056"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Содержание в почве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Кадмий</w:t>
            </w:r>
          </w:p>
        </w:tc>
        <w:tc>
          <w:tcPr>
            <w:tcW w:w="23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Свинец</w:t>
            </w:r>
          </w:p>
        </w:tc>
        <w:tc>
          <w:tcPr>
            <w:tcW w:w="23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Цинк</w:t>
            </w:r>
          </w:p>
        </w:tc>
      </w:tr>
      <w:tr w:rsidR="00000000">
        <w:trPr>
          <w:trHeight w:val="20"/>
        </w:trPr>
        <w:tc>
          <w:tcPr>
            <w:tcW w:w="2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Катал аза</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23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700</w:t>
            </w:r>
          </w:p>
        </w:tc>
        <w:tc>
          <w:tcPr>
            <w:tcW w:w="23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300</w:t>
            </w:r>
          </w:p>
        </w:tc>
      </w:tr>
      <w:tr w:rsidR="00000000">
        <w:trPr>
          <w:trHeight w:val="20"/>
        </w:trPr>
        <w:tc>
          <w:tcPr>
            <w:tcW w:w="2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Дегидрогеназа</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w:t>
            </w:r>
          </w:p>
        </w:tc>
        <w:tc>
          <w:tcPr>
            <w:tcW w:w="23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300</w:t>
            </w:r>
          </w:p>
        </w:tc>
        <w:tc>
          <w:tcPr>
            <w:tcW w:w="23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700</w:t>
            </w:r>
          </w:p>
        </w:tc>
      </w:tr>
      <w:tr w:rsidR="00000000">
        <w:trPr>
          <w:trHeight w:val="20"/>
        </w:trPr>
        <w:tc>
          <w:tcPr>
            <w:tcW w:w="2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Инвертаза</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c>
          <w:tcPr>
            <w:tcW w:w="23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1000</w:t>
            </w:r>
          </w:p>
        </w:tc>
        <w:tc>
          <w:tcPr>
            <w:tcW w:w="23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10000</w:t>
            </w:r>
          </w:p>
        </w:tc>
      </w:tr>
      <w:tr w:rsidR="00000000">
        <w:trPr>
          <w:trHeight w:val="20"/>
        </w:trPr>
        <w:tc>
          <w:tcPr>
            <w:tcW w:w="2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Протеаза</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c>
          <w:tcPr>
            <w:tcW w:w="23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xml:space="preserve">&gt; </w:t>
            </w:r>
            <w:r>
              <w:t>1000</w:t>
            </w:r>
          </w:p>
        </w:tc>
        <w:tc>
          <w:tcPr>
            <w:tcW w:w="23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10000</w:t>
            </w:r>
          </w:p>
        </w:tc>
      </w:tr>
      <w:tr w:rsidR="00000000">
        <w:trPr>
          <w:trHeight w:val="20"/>
        </w:trPr>
        <w:tc>
          <w:tcPr>
            <w:tcW w:w="2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Уреаза</w:t>
            </w:r>
          </w:p>
        </w:tc>
        <w:tc>
          <w:tcPr>
            <w:tcW w:w="23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w:t>
            </w:r>
          </w:p>
        </w:tc>
        <w:tc>
          <w:tcPr>
            <w:tcW w:w="23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1000</w:t>
            </w:r>
          </w:p>
        </w:tc>
        <w:tc>
          <w:tcPr>
            <w:tcW w:w="23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10000</w:t>
            </w:r>
          </w:p>
        </w:tc>
      </w:tr>
    </w:tbl>
    <w:p w:rsidR="00000000" w:rsidRDefault="00F36ADD">
      <w:pPr>
        <w:ind w:firstLine="426"/>
      </w:pPr>
      <w:r>
        <w:rPr>
          <w:b/>
          <w:bCs/>
        </w:rPr>
        <w:t> </w:t>
      </w:r>
    </w:p>
    <w:p w:rsidR="00000000" w:rsidRDefault="00F36ADD">
      <w:pPr>
        <w:jc w:val="center"/>
      </w:pPr>
      <w:r>
        <w:rPr>
          <w:rStyle w:val="s1"/>
        </w:rPr>
        <w:t>Таблица Б.6 Биологические уровни загрязнения почвенного покрова для условий произрастания (мгр. на кг)</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1676"/>
        <w:gridCol w:w="976"/>
        <w:gridCol w:w="840"/>
        <w:gridCol w:w="1070"/>
        <w:gridCol w:w="963"/>
        <w:gridCol w:w="974"/>
        <w:gridCol w:w="964"/>
        <w:gridCol w:w="964"/>
        <w:gridCol w:w="908"/>
      </w:tblGrid>
      <w:tr w:rsidR="00000000">
        <w:trPr>
          <w:trHeight w:val="20"/>
        </w:trPr>
        <w:tc>
          <w:tcPr>
            <w:tcW w:w="89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lastRenderedPageBreak/>
              <w:t>Уровень загрязнения</w:t>
            </w:r>
          </w:p>
        </w:tc>
        <w:tc>
          <w:tcPr>
            <w:tcW w:w="4101"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Содержание элемента, мг/кг</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Мышьяк</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Ртуть</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Свинец</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Цинк</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Кадмий</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Медь</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Никель</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Хром</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В песчаных и супесчаных почвах (валовые формы)</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Нормальн.</w:t>
            </w:r>
            <w:r>
              <w:rPr>
                <w:vertAlign w:val="superscript"/>
              </w:rP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1.0-2.0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1.0-2.1</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16.0-32.0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27.1-55.0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0.26-0.5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16.1-33.0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10.1-20.0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50.0-100</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Средний</w:t>
            </w:r>
            <w:r>
              <w:rPr>
                <w:vertAlign w:val="superscript"/>
              </w:rP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2.1-4.0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2.2-4-2</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32.1-64.0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55.1-110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0.6-1.0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33.1-165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20.0-100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101-500</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Высокий</w:t>
            </w:r>
            <w:r>
              <w:rPr>
                <w:vertAlign w:val="superscript"/>
              </w:rP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4.1-6.0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4.3-6.2</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64.1-96</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110.1-165</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1.1-1.5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165.1-330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100.1-200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501-1000</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Оч. высок.</w:t>
            </w:r>
            <w:r>
              <w:rPr>
                <w:vertAlign w:val="superscript"/>
              </w:rP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6.0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6.2</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96.0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165</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330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200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1000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В суглинистых и глинистых почвах pH менее 5.5 (валовые формы)</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Нормальн.</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2.5-5.0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32-65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55-100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0.5-1.0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33-66</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20-40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Средний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5.1-10.0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66-130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111-220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1.1-2.0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67-330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41-200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Высокий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10.1-15.0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131-195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221-330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2.1-3.0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331-660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201-400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Оч. высокий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15</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195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330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660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В суглинистых и глинистых почвах, pH более 5.5 (валовые формы)</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Нормальн.</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65-130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110-220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1.0-2.0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66-132</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40-80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Средний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11-20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131-260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221-400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2.1-4.0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133-660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81-400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Высокий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21-30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261-390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401-660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4.1-6.0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661-1320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401-800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Подвижные формы</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Нормальный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3.0-6.0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10.0-23.0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2.0-4.0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3.0-6.0</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Средний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6.1-12.0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24.0-46.0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3.1-15.0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4.1-20.0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6.1-30.0</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Высокий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12.1-18.0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47.0-69.0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15.1-30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20.1-40.0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31.0-60.0</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Оч. высокий</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18.0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69</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30.0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40.0</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&gt; 60.0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w:t>
            </w:r>
            <w:r>
              <w:rPr>
                <w:vertAlign w:val="superscript"/>
              </w:rPr>
              <w:t>*</w:t>
            </w:r>
            <w:r>
              <w:t>. Нормальный уровень - нормальное развитие растения, средний - уменьшение урожайности семян, поражение корневой системы, высокий - изменения морфологии растения, очень высокий - гибель растения.</w:t>
            </w:r>
          </w:p>
        </w:tc>
      </w:tr>
    </w:tbl>
    <w:p w:rsidR="00000000" w:rsidRDefault="00F36ADD">
      <w:pPr>
        <w:ind w:firstLine="426"/>
      </w:pPr>
      <w:r>
        <w:rPr>
          <w:b/>
          <w:bCs/>
        </w:rPr>
        <w:t> </w:t>
      </w:r>
    </w:p>
    <w:p w:rsidR="00000000" w:rsidRDefault="00F36ADD">
      <w:pPr>
        <w:jc w:val="center"/>
      </w:pPr>
      <w:r>
        <w:rPr>
          <w:rStyle w:val="s1"/>
        </w:rPr>
        <w:t>Таблица Б.7 - Типы конструкций урбоконструктоземов для создания спортивных газонов</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2159"/>
        <w:gridCol w:w="1959"/>
        <w:gridCol w:w="2155"/>
        <w:gridCol w:w="2029"/>
        <w:gridCol w:w="2066"/>
      </w:tblGrid>
      <w:tr w:rsidR="00000000">
        <w:trPr>
          <w:trHeight w:val="20"/>
        </w:trPr>
        <w:tc>
          <w:tcPr>
            <w:tcW w:w="10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Тип коренной породы</w:t>
            </w:r>
          </w:p>
        </w:tc>
        <w:tc>
          <w:tcPr>
            <w:tcW w:w="3976"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Глубина по профилю,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0-15</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16-30</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31-45</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46-60</w:t>
            </w:r>
          </w:p>
        </w:tc>
      </w:tr>
      <w:tr w:rsidR="00000000">
        <w:trPr>
          <w:trHeight w:val="20"/>
        </w:trPr>
        <w:tc>
          <w:tcPr>
            <w:tcW w:w="1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Среднесуглинистые со средней фильтрацией</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Гумуссированный слой</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Коренная порода среднесуглинистая</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Коренная порода среднесуглинистая</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Коренная порода среднесуглинистая</w:t>
            </w:r>
          </w:p>
        </w:tc>
      </w:tr>
      <w:tr w:rsidR="00000000">
        <w:trPr>
          <w:trHeight w:val="20"/>
        </w:trPr>
        <w:tc>
          <w:tcPr>
            <w:tcW w:w="1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Песчаные хорошо фильтрующие грунты</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Гумуссированный слой</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Среднесуглинистый почвообразующий слой</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Коренная порода песчаная</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Коренная порода песчаная</w:t>
            </w:r>
          </w:p>
        </w:tc>
      </w:tr>
      <w:tr w:rsidR="00000000">
        <w:trPr>
          <w:trHeight w:val="20"/>
        </w:trPr>
        <w:tc>
          <w:tcPr>
            <w:tcW w:w="10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Тяжелосуглинистые плохо фильтр, грунты</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Гумуссированный слой</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Среднесуглинистый почвообраз. слой</w:t>
            </w:r>
          </w:p>
        </w:tc>
        <w:tc>
          <w:tcPr>
            <w:tcW w:w="10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Дренирующий слой из щебня и песка</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Коренная порода тяжелосуглинистая</w:t>
            </w:r>
          </w:p>
        </w:tc>
      </w:tr>
    </w:tbl>
    <w:p w:rsidR="00000000" w:rsidRDefault="00F36ADD">
      <w:pPr>
        <w:ind w:firstLine="426"/>
      </w:pPr>
      <w:r>
        <w:rPr>
          <w:b/>
          <w:bCs/>
        </w:rPr>
        <w:t> </w:t>
      </w:r>
    </w:p>
    <w:p w:rsidR="00000000" w:rsidRDefault="00F36ADD">
      <w:pPr>
        <w:jc w:val="center"/>
      </w:pPr>
      <w:r>
        <w:rPr>
          <w:rStyle w:val="s1"/>
        </w:rPr>
        <w:t>Таблица Б.8 Допустимые концентрации тяжелых металлов и мышьяка в почвах городов Республики Казахстан (в мг на кг)</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2954"/>
        <w:gridCol w:w="1006"/>
        <w:gridCol w:w="1070"/>
        <w:gridCol w:w="1006"/>
        <w:gridCol w:w="1070"/>
        <w:gridCol w:w="1131"/>
        <w:gridCol w:w="1098"/>
      </w:tblGrid>
      <w:tr w:rsidR="00000000">
        <w:trPr>
          <w:trHeight w:val="20"/>
        </w:trPr>
        <w:tc>
          <w:tcPr>
            <w:tcW w:w="158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lastRenderedPageBreak/>
              <w:t>Уровни конце</w:t>
            </w:r>
            <w:r>
              <w:t>нтрации тяжелых металлов и мышьяка</w:t>
            </w:r>
          </w:p>
        </w:tc>
        <w:tc>
          <w:tcPr>
            <w:tcW w:w="3418"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Содержание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11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 класс опасности</w:t>
            </w:r>
          </w:p>
        </w:tc>
        <w:tc>
          <w:tcPr>
            <w:tcW w:w="230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 класс опасности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никель</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медь</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цинк</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свинец</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кадмий</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мышьяк</w:t>
            </w:r>
          </w:p>
        </w:tc>
      </w:tr>
      <w:tr w:rsidR="00000000">
        <w:trPr>
          <w:trHeight w:val="20"/>
        </w:trPr>
        <w:tc>
          <w:tcPr>
            <w:tcW w:w="15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Фоновое содержание в песчаных и супесчаных почвах</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5-10 ср. 6</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5-12 ср. 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25-30 ср. 28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4-9 ср. 6</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0.01-0.1 ср. 0.05</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0.9-1.7 ср. 1.5</w:t>
            </w:r>
          </w:p>
        </w:tc>
      </w:tr>
      <w:tr w:rsidR="00000000">
        <w:trPr>
          <w:trHeight w:val="20"/>
        </w:trPr>
        <w:tc>
          <w:tcPr>
            <w:tcW w:w="15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Фоновое содержание в суглинистых и глинистых почвах</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15-25 ср. 20</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12-30 ср. 20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30-60 ср. 45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12-30 ср. 20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0.09-0.3 ср. 0.22</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1.2-3.2 ср. 2.2</w:t>
            </w:r>
          </w:p>
        </w:tc>
      </w:tr>
    </w:tbl>
    <w:p w:rsidR="00000000" w:rsidRDefault="00F36ADD">
      <w:pPr>
        <w:ind w:firstLine="426"/>
      </w:pPr>
      <w:r>
        <w:rPr>
          <w:b/>
          <w:bCs/>
        </w:rPr>
        <w:t> </w:t>
      </w:r>
    </w:p>
    <w:p w:rsidR="00000000" w:rsidRDefault="00F36ADD">
      <w:pPr>
        <w:ind w:firstLine="426"/>
        <w:jc w:val="both"/>
      </w:pPr>
      <w:r>
        <w:rPr>
          <w:b/>
          <w:bCs/>
        </w:rPr>
        <w:t>Б.2 Подготовка почвы под газоны и откосы</w:t>
      </w:r>
    </w:p>
    <w:p w:rsidR="00000000" w:rsidRDefault="00F36ADD">
      <w:pPr>
        <w:ind w:firstLine="426"/>
        <w:jc w:val="both"/>
      </w:pPr>
      <w:r>
        <w:t>Б.2.1 В условиях города грунты под газоны и откосы нуждаются в полной замене. Слой растительной земли под газон должен составлять 20 см с обязательным улучшением механического состава растительного грунта введением добавок и многократным перемешиванием: пе</w:t>
      </w:r>
      <w:r>
        <w:t>сок - 25%, торф - 25%, растительная земля - 50%. Также следует предусматривать улучшение плодородия растительного грунта введением минеральных и органических удобрений. При проектировании благоустройства должны использоваться новые методы, улучшающие качес</w:t>
      </w:r>
      <w:r>
        <w:t>тво устраиваемых газонов: стабилизация гидропосевом, «Пикса» и др. Норма высева семян при устройстве газонов в городских условиях составляет не менее 40 г/кв. м с указанием в проекте травосмесей. Уход за зелеными насаждениями рекомендуется осуществляться в</w:t>
      </w:r>
      <w:r>
        <w:t>есь период строительства или реконструкции.</w:t>
      </w:r>
    </w:p>
    <w:p w:rsidR="00000000" w:rsidRDefault="00F36ADD">
      <w:pPr>
        <w:ind w:firstLine="426"/>
      </w:pPr>
      <w:r>
        <w:rPr>
          <w:b/>
          <w:bCs/>
        </w:rPr>
        <w:t> </w:t>
      </w:r>
    </w:p>
    <w:p w:rsidR="00000000" w:rsidRDefault="00F36ADD">
      <w:pPr>
        <w:ind w:firstLine="426"/>
        <w:jc w:val="right"/>
      </w:pPr>
      <w:r>
        <w:rPr>
          <w:b/>
          <w:bCs/>
        </w:rPr>
        <w:t>ПРИЛОЖЕНИЕ В</w:t>
      </w:r>
    </w:p>
    <w:p w:rsidR="00000000" w:rsidRDefault="00F36ADD">
      <w:pPr>
        <w:ind w:firstLine="426"/>
        <w:jc w:val="right"/>
      </w:pPr>
      <w:r>
        <w:rPr>
          <w:i/>
          <w:iCs/>
        </w:rPr>
        <w:t xml:space="preserve">(информационное) </w:t>
      </w:r>
    </w:p>
    <w:p w:rsidR="00000000" w:rsidRDefault="00F36ADD">
      <w:pPr>
        <w:ind w:firstLine="426"/>
        <w:jc w:val="right"/>
      </w:pPr>
      <w:r>
        <w:t> </w:t>
      </w:r>
    </w:p>
    <w:p w:rsidR="00000000" w:rsidRDefault="00F36ADD">
      <w:pPr>
        <w:ind w:firstLine="426"/>
        <w:jc w:val="right"/>
      </w:pPr>
      <w:r>
        <w:t> </w:t>
      </w:r>
    </w:p>
    <w:p w:rsidR="00000000" w:rsidRDefault="00F36ADD">
      <w:pPr>
        <w:jc w:val="center"/>
      </w:pPr>
      <w:r>
        <w:rPr>
          <w:rStyle w:val="s1"/>
        </w:rPr>
        <w:t>Игровое и спортивное оборудование</w:t>
      </w:r>
    </w:p>
    <w:p w:rsidR="00000000" w:rsidRDefault="00F36ADD">
      <w:pPr>
        <w:ind w:firstLine="426"/>
        <w:jc w:val="center"/>
      </w:pPr>
      <w:r>
        <w:rPr>
          <w:b/>
          <w:bCs/>
        </w:rPr>
        <w:t> </w:t>
      </w:r>
    </w:p>
    <w:p w:rsidR="00000000" w:rsidRDefault="00F36ADD">
      <w:pPr>
        <w:jc w:val="center"/>
      </w:pPr>
      <w:r>
        <w:rPr>
          <w:rStyle w:val="s1"/>
        </w:rPr>
        <w:t>Таблица В.1 - Состав игрового и спортивного оборудования в зависимости от возраста детей</w:t>
      </w:r>
    </w:p>
    <w:p w:rsidR="00000000" w:rsidRDefault="00F36ADD">
      <w:pPr>
        <w:ind w:firstLine="426"/>
        <w:jc w:val="center"/>
      </w:pPr>
      <w:r>
        <w:t> </w:t>
      </w:r>
    </w:p>
    <w:tbl>
      <w:tblPr>
        <w:tblW w:w="4985" w:type="pct"/>
        <w:tblCellMar>
          <w:left w:w="0" w:type="dxa"/>
          <w:right w:w="0" w:type="dxa"/>
        </w:tblCellMar>
        <w:tblLook w:val="04A0" w:firstRow="1" w:lastRow="0" w:firstColumn="1" w:lastColumn="0" w:noHBand="0" w:noVBand="1"/>
      </w:tblPr>
      <w:tblGrid>
        <w:gridCol w:w="2137"/>
        <w:gridCol w:w="3274"/>
        <w:gridCol w:w="3896"/>
      </w:tblGrid>
      <w:tr w:rsidR="00000000">
        <w:trPr>
          <w:trHeight w:val="20"/>
        </w:trPr>
        <w:tc>
          <w:tcPr>
            <w:tcW w:w="114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Возраст</w:t>
            </w:r>
          </w:p>
        </w:tc>
        <w:tc>
          <w:tcPr>
            <w:tcW w:w="17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Назначение оборудования</w:t>
            </w:r>
          </w:p>
        </w:tc>
        <w:tc>
          <w:tcPr>
            <w:tcW w:w="20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Рекомендуемое игровое и физкультурное оборудование</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Дети преддошкольного возраста (1-3 г)</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А) Для тихих игр, тренировки усидчивости, терпения, развития фантазии:</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песочницы</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Б) Для тренировки лазания, ходьбы, перешагивания, подлезания, равновесия:</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доми</w:t>
            </w:r>
            <w:r>
              <w:t>ки, пирамиды, гимнастические стенки, бумы, бревна, горки - кубы деревянные 20×40×15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доски шириной 15, 20, 25 см, длиной 150, 200 и 250 см; доска деревянная - один конец приподнят на высоту 10-15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горка с поручнями, ступеньками и центральной площадкой, длина 240 см, высота 48 см (в центральной части), ширина ступеньки - 70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лестница-стремянка, высота 100 или 150 см, расстояние между перекладинами 10 и 15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В) Для тренировки вестибуля</w:t>
            </w:r>
            <w:r>
              <w:t>рного аппарата, укрепления мышечной системы (мышц спины, живота и ног), совершенствования чувства равновесия, ритма, ориентировки в пространстве:</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качели и качалки</w:t>
            </w:r>
          </w:p>
        </w:tc>
      </w:tr>
      <w:tr w:rsidR="00000000">
        <w:trPr>
          <w:trHeight w:val="20"/>
        </w:trPr>
        <w:tc>
          <w:tcPr>
            <w:tcW w:w="11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Дети дошкольного возраста (3-7 лет)</w:t>
            </w:r>
          </w:p>
        </w:tc>
        <w:tc>
          <w:tcPr>
            <w:tcW w:w="1759" w:type="pct"/>
            <w:tcBorders>
              <w:top w:val="nil"/>
              <w:left w:val="nil"/>
              <w:bottom w:val="nil"/>
              <w:right w:val="single" w:sz="8" w:space="0" w:color="auto"/>
            </w:tcBorders>
            <w:tcMar>
              <w:top w:w="0" w:type="dxa"/>
              <w:left w:w="40" w:type="dxa"/>
              <w:bottom w:w="0" w:type="dxa"/>
              <w:right w:w="40" w:type="dxa"/>
            </w:tcMar>
            <w:hideMark/>
          </w:tcPr>
          <w:p w:rsidR="00000000" w:rsidRDefault="00F36ADD">
            <w:r>
              <w:t>А) Для обучения и совершенствования лазания:</w:t>
            </w:r>
          </w:p>
        </w:tc>
        <w:tc>
          <w:tcPr>
            <w:tcW w:w="2093" w:type="pct"/>
            <w:tcBorders>
              <w:top w:val="nil"/>
              <w:left w:val="nil"/>
              <w:bottom w:val="nil"/>
              <w:right w:val="single" w:sz="8" w:space="0" w:color="auto"/>
            </w:tcBorders>
            <w:tcMar>
              <w:top w:w="0" w:type="dxa"/>
              <w:left w:w="40" w:type="dxa"/>
              <w:bottom w:w="0" w:type="dxa"/>
              <w:right w:w="40" w:type="dxa"/>
            </w:tcMar>
            <w:hideMark/>
          </w:tcPr>
          <w:p w:rsidR="00000000" w:rsidRDefault="00F36ADD">
            <w:r>
              <w:t>- пирамид</w:t>
            </w:r>
            <w:r>
              <w:t xml:space="preserve">ы с вертикальными и горизонтальными перекладинами; </w:t>
            </w:r>
          </w:p>
          <w:p w:rsidR="00000000" w:rsidRDefault="00F36ADD">
            <w:r>
              <w:t>- лестницы различной конфигурации, со встроенными обручами, полусферы;</w:t>
            </w:r>
          </w:p>
          <w:p w:rsidR="00000000" w:rsidRDefault="00F36ADD">
            <w:r>
              <w:t>- доска деревянная на высоте 10-15 см (устанавливается на специальных подставках)</w:t>
            </w:r>
          </w:p>
        </w:tc>
      </w:tr>
      <w:tr w:rsidR="00000000">
        <w:trPr>
          <w:trHeight w:val="20"/>
        </w:trPr>
        <w:tc>
          <w:tcPr>
            <w:tcW w:w="114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Б) Для обучения равновесию, перешагиванию, переп</w:t>
            </w:r>
            <w:r>
              <w:t>рыгиванию, спрыгиванию:</w:t>
            </w:r>
          </w:p>
        </w:tc>
        <w:tc>
          <w:tcPr>
            <w:tcW w:w="20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 бревно со стесанным верхом, прочно закрепленное, лежащее на земле, длина 2,5-3,5 м, ширина 20-30 см; </w:t>
            </w:r>
          </w:p>
          <w:p w:rsidR="00000000" w:rsidRDefault="00F36ADD">
            <w:r>
              <w:t>- бум «Крокодил», длина 2,5 м, ширина 20 см, высота 20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гимнастическое бревно, длина горизонтальной части 3,5 м, наклонной - 1,2 м, горизонтальной части 30 или 50 см, диаметр бревна - 27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гимнастическая скамейка, длина 3 м, ширина 20 см, толщина 3 см, высота 20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В) Для обучения вхождению, лазан</w:t>
            </w:r>
            <w:r>
              <w:t>ью, движению на четвереньках, скатыванию:</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горка с поручнями, длина 2 м, высота 60 см; - горка с лесенкой и скатом, длина 240, высота 80, длина лесенки и ската - 90 см, ширина лесенки и ската - 70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Г) Для обучения развитию силы, гибкости, координации</w:t>
            </w:r>
            <w:r>
              <w:t xml:space="preserve"> движений:</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гимнастическая стенка, высота 3 м, ширина пролетов не менее 1 м, диаметр перекладины - 22 мм, расстояние между перекладинами - 25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гимнастические столбики</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Д) Для развития глазомера, точности движений, ловкости, для обучения метани</w:t>
            </w:r>
            <w:r>
              <w:t>я в цель:</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стойка с обручами для метания в цель, высота 120-130 см, диаметр обруча 40-50 см;</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оборудование для метания в виде «цветка», «петуха», центр мишени расположен на высоте 120 см (мл. дошк.), - 150-200 см (ст. дошк.);</w:t>
            </w:r>
          </w:p>
        </w:tc>
      </w:tr>
      <w:tr w:rsidR="00000000">
        <w:trPr>
          <w:trHeight w:val="20"/>
        </w:trPr>
        <w:tc>
          <w:tcPr>
            <w:tcW w:w="11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nil"/>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nil"/>
              <w:right w:val="single" w:sz="8" w:space="0" w:color="auto"/>
            </w:tcBorders>
            <w:tcMar>
              <w:top w:w="0" w:type="dxa"/>
              <w:left w:w="40" w:type="dxa"/>
              <w:bottom w:w="0" w:type="dxa"/>
              <w:right w:w="40" w:type="dxa"/>
            </w:tcMar>
            <w:hideMark/>
          </w:tcPr>
          <w:p w:rsidR="00000000" w:rsidRDefault="00F36ADD">
            <w:r>
              <w:t xml:space="preserve">- кольцебросы - доска с укрепленными колышками высотой 15-20 см, кольцебросы могут быть </w:t>
            </w:r>
            <w:r>
              <w:lastRenderedPageBreak/>
              <w:t>расположены горизонтально и наклонно;</w:t>
            </w:r>
          </w:p>
        </w:tc>
      </w:tr>
      <w:tr w:rsidR="00000000">
        <w:trPr>
          <w:trHeight w:val="20"/>
        </w:trPr>
        <w:tc>
          <w:tcPr>
            <w:tcW w:w="114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 </w:t>
            </w:r>
          </w:p>
        </w:tc>
        <w:tc>
          <w:tcPr>
            <w:tcW w:w="17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 мишени на щитах из досок в виде четырех концентрических кругов диаметром 20, 40, 60, 80 см, центр мишени на высоте 110-120 </w:t>
            </w:r>
            <w:r>
              <w:t>см от уровня пола или площадки, круги красятся в красный (центр), салатный, желтый и голубой;</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баскетбольные щиты, крепятся на двух деревянных или металлических стойках так, чтобы кольцо находилось на уровне 2 м от пола или поверхности площадки</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Дети</w:t>
            </w:r>
            <w:r>
              <w:t xml:space="preserve"> школьного возраста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Для общего физического развития:</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гимнастическая стенка высотой не менее 3 м, количество пролетов 4-6;</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разновысокие перекладины, перекладина-эспандер для выполнения силовых упражнений в висе;</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«рукоход» различной конфигурации для обучения передвижению разными способами, висам, подтягиванию;</w:t>
            </w:r>
          </w:p>
        </w:tc>
      </w:tr>
      <w:tr w:rsidR="00000000">
        <w:trPr>
          <w:trHeight w:val="20"/>
        </w:trPr>
        <w:tc>
          <w:tcPr>
            <w:tcW w:w="11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спортивно-гимнастические комплексы, включающие 5-6 горизонтальных перекладин, укрепленных на разной высоте, к перекладине на разной высоте могут при</w:t>
            </w:r>
            <w:r>
              <w:t>крепляться спортивные снаряды: кольца, трапеции, качели, шесты и др.;</w:t>
            </w:r>
          </w:p>
        </w:tc>
      </w:tr>
      <w:tr w:rsidR="00000000">
        <w:trPr>
          <w:trHeight w:val="20"/>
        </w:trPr>
        <w:tc>
          <w:tcPr>
            <w:tcW w:w="11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 </w:t>
            </w:r>
          </w:p>
        </w:tc>
        <w:tc>
          <w:tcPr>
            <w:tcW w:w="1759" w:type="pct"/>
            <w:tcBorders>
              <w:top w:val="nil"/>
              <w:left w:val="nil"/>
              <w:bottom w:val="nil"/>
              <w:right w:val="single" w:sz="8" w:space="0" w:color="auto"/>
            </w:tcBorders>
            <w:tcMar>
              <w:top w:w="0" w:type="dxa"/>
              <w:left w:w="40" w:type="dxa"/>
              <w:bottom w:w="0" w:type="dxa"/>
              <w:right w:w="40" w:type="dxa"/>
            </w:tcMar>
            <w:hideMark/>
          </w:tcPr>
          <w:p w:rsidR="00000000" w:rsidRDefault="00F36ADD">
            <w:r>
              <w:t> </w:t>
            </w:r>
          </w:p>
        </w:tc>
        <w:tc>
          <w:tcPr>
            <w:tcW w:w="2093" w:type="pct"/>
            <w:tcBorders>
              <w:top w:val="nil"/>
              <w:left w:val="nil"/>
              <w:bottom w:val="nil"/>
              <w:right w:val="single" w:sz="8" w:space="0" w:color="auto"/>
            </w:tcBorders>
            <w:tcMar>
              <w:top w:w="0" w:type="dxa"/>
              <w:left w:w="40" w:type="dxa"/>
              <w:bottom w:w="0" w:type="dxa"/>
              <w:right w:w="40" w:type="dxa"/>
            </w:tcMar>
            <w:hideMark/>
          </w:tcPr>
          <w:p w:rsidR="00000000" w:rsidRDefault="00F36ADD">
            <w:r>
              <w:t>- сочлененные перекладины разной высоты: 1,5-2,2-3 м, могут располагаться по одной линии или в форме букв «Г», «Т» или змейкой</w:t>
            </w:r>
          </w:p>
        </w:tc>
      </w:tr>
      <w:tr w:rsidR="00000000">
        <w:trPr>
          <w:trHeight w:val="20"/>
        </w:trPr>
        <w:tc>
          <w:tcPr>
            <w:tcW w:w="114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Дети старшего школьного возраста</w:t>
            </w:r>
          </w:p>
        </w:tc>
        <w:tc>
          <w:tcPr>
            <w:tcW w:w="17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Для улучшения мышечн</w:t>
            </w:r>
            <w:r>
              <w:t>ой силы, улучшения телосложения и общего физического развития</w:t>
            </w:r>
          </w:p>
        </w:tc>
        <w:tc>
          <w:tcPr>
            <w:tcW w:w="20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спортивные комплексы - спортивно-игровые комплексы (микроскалодромы, велодромы и т.п.)</w:t>
            </w:r>
          </w:p>
        </w:tc>
      </w:tr>
    </w:tbl>
    <w:p w:rsidR="00000000" w:rsidRDefault="00F36ADD">
      <w:pPr>
        <w:ind w:firstLine="426"/>
      </w:pPr>
      <w:r>
        <w:rPr>
          <w:b/>
          <w:bCs/>
        </w:rPr>
        <w:t> </w:t>
      </w:r>
    </w:p>
    <w:p w:rsidR="00000000" w:rsidRDefault="00F36ADD">
      <w:pPr>
        <w:jc w:val="center"/>
      </w:pPr>
      <w:r>
        <w:rPr>
          <w:rStyle w:val="s1"/>
        </w:rPr>
        <w:t>Таблица В.2 - Требования к игровому оборудованию</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1508"/>
        <w:gridCol w:w="7757"/>
        <w:gridCol w:w="70"/>
      </w:tblGrid>
      <w:tr w:rsidR="00000000">
        <w:trPr>
          <w:trHeight w:val="20"/>
        </w:trPr>
        <w:tc>
          <w:tcPr>
            <w:tcW w:w="80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Игровое оборудование</w:t>
            </w:r>
          </w:p>
        </w:tc>
        <w:tc>
          <w:tcPr>
            <w:tcW w:w="419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Требования</w:t>
            </w:r>
          </w:p>
        </w:tc>
      </w:tr>
      <w:tr w:rsidR="00000000">
        <w:trPr>
          <w:trHeight w:val="20"/>
        </w:trPr>
        <w:tc>
          <w:tcPr>
            <w:tcW w:w="8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Качели</w:t>
            </w:r>
          </w:p>
        </w:tc>
        <w:tc>
          <w:tcPr>
            <w:tcW w:w="419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сидение для маленьких детей (колыбель) и п</w:t>
            </w:r>
            <w:r>
              <w:t>лоское сидение для более старших детей.</w:t>
            </w:r>
          </w:p>
        </w:tc>
      </w:tr>
      <w:tr w:rsidR="00000000">
        <w:trPr>
          <w:trHeight w:val="20"/>
        </w:trPr>
        <w:tc>
          <w:tcPr>
            <w:tcW w:w="8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lastRenderedPageBreak/>
              <w:t>Качалки</w:t>
            </w:r>
          </w:p>
        </w:tc>
        <w:tc>
          <w:tcPr>
            <w:tcW w:w="419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Высота от земли до сидения в состоянии равновесия должна быть 550-750 мм. Максимальный наклон сиденья при движении назад и вперед - не более 20 градусов. Конструкция качалки не должна допускать попадание но</w:t>
            </w:r>
            <w:r>
              <w:t>г сидящего в ней ребенка под опорные части качалки, не должна иметь острых углов, радиус их закругления должен составлять не менее 20 мм.</w:t>
            </w:r>
          </w:p>
        </w:tc>
      </w:tr>
      <w:tr w:rsidR="00000000">
        <w:trPr>
          <w:trHeight w:val="20"/>
        </w:trPr>
        <w:tc>
          <w:tcPr>
            <w:tcW w:w="8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Карусели</w:t>
            </w:r>
          </w:p>
        </w:tc>
        <w:tc>
          <w:tcPr>
            <w:tcW w:w="419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Минимальное расстояние от уровня земли до нижней вращающейся конструкции карусели должно быть не менее 60 м</w:t>
            </w:r>
            <w:r>
              <w:t>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000000">
        <w:trPr>
          <w:trHeight w:val="20"/>
        </w:trPr>
        <w:tc>
          <w:tcPr>
            <w:tcW w:w="80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pPr>
              <w:jc w:val="center"/>
            </w:pPr>
            <w:r>
              <w:t>Горки</w:t>
            </w:r>
          </w:p>
        </w:tc>
        <w:tc>
          <w:tcPr>
            <w:tcW w:w="4193" w:type="pct"/>
            <w:gridSpan w:val="2"/>
            <w:tcBorders>
              <w:top w:val="nil"/>
              <w:left w:val="nil"/>
              <w:bottom w:val="nil"/>
              <w:right w:val="single" w:sz="8" w:space="0" w:color="auto"/>
            </w:tcBorders>
            <w:tcMar>
              <w:top w:w="0" w:type="dxa"/>
              <w:left w:w="40" w:type="dxa"/>
              <w:bottom w:w="0" w:type="dxa"/>
              <w:right w:w="40" w:type="dxa"/>
            </w:tcMar>
            <w:hideMark/>
          </w:tcPr>
          <w:p w:rsidR="00000000" w:rsidRDefault="00F36ADD">
            <w:r>
              <w:t>Доступ к горке осуществляется через лестницу, лазательную секцию или другие приспо</w:t>
            </w:r>
            <w:r>
              <w:t>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w:t>
            </w:r>
            <w:r>
              <w:t xml:space="preserve">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0,75 м. Угол наклона участка скольжения не должен превышать 60 градусов в любой т</w:t>
            </w:r>
            <w:r>
              <w:t>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w:t>
            </w:r>
          </w:p>
        </w:tc>
      </w:tr>
      <w:tr w:rsidR="00000000">
        <w:trPr>
          <w:trHeight w:val="20"/>
        </w:trPr>
        <w:tc>
          <w:tcPr>
            <w:tcW w:w="80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41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Расстояние от края ската горки до земли должно бы</w:t>
            </w:r>
            <w:r>
              <w:t>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c>
          <w:tcPr>
            <w:tcW w:w="0" w:type="pct"/>
            <w:vAlign w:val="center"/>
            <w:hideMark/>
          </w:tcPr>
          <w:p w:rsidR="00000000" w:rsidRDefault="00F36ADD">
            <w:r>
              <w:t> </w:t>
            </w:r>
          </w:p>
        </w:tc>
      </w:tr>
    </w:tbl>
    <w:p w:rsidR="00000000" w:rsidRDefault="00F36ADD">
      <w:pPr>
        <w:ind w:firstLine="426"/>
      </w:pPr>
      <w:r>
        <w:rPr>
          <w:b/>
          <w:bCs/>
        </w:rPr>
        <w:t> </w:t>
      </w:r>
    </w:p>
    <w:p w:rsidR="00000000" w:rsidRDefault="00F36ADD">
      <w:pPr>
        <w:ind w:firstLine="426"/>
        <w:jc w:val="right"/>
      </w:pPr>
      <w:r>
        <w:rPr>
          <w:b/>
          <w:bCs/>
        </w:rPr>
        <w:t>ПРИЛОЖЕНИЕ Г</w:t>
      </w:r>
    </w:p>
    <w:p w:rsidR="00000000" w:rsidRDefault="00F36ADD">
      <w:pPr>
        <w:ind w:firstLine="426"/>
        <w:jc w:val="right"/>
      </w:pPr>
      <w:r>
        <w:rPr>
          <w:i/>
          <w:iCs/>
        </w:rPr>
        <w:t xml:space="preserve">(информационное) </w:t>
      </w:r>
    </w:p>
    <w:p w:rsidR="00000000" w:rsidRDefault="00F36ADD">
      <w:pPr>
        <w:ind w:firstLine="426"/>
        <w:jc w:val="right"/>
      </w:pPr>
      <w:r>
        <w:t> </w:t>
      </w:r>
    </w:p>
    <w:p w:rsidR="00000000" w:rsidRDefault="00F36ADD">
      <w:pPr>
        <w:ind w:firstLine="426"/>
        <w:jc w:val="right"/>
      </w:pPr>
      <w:r>
        <w:t> </w:t>
      </w:r>
    </w:p>
    <w:p w:rsidR="00000000" w:rsidRDefault="00F36ADD">
      <w:pPr>
        <w:jc w:val="center"/>
      </w:pPr>
      <w:r>
        <w:rPr>
          <w:rStyle w:val="s1"/>
        </w:rPr>
        <w:t>Приемы благоустройства на территориях рекреационного назначения</w:t>
      </w:r>
    </w:p>
    <w:p w:rsidR="00000000" w:rsidRDefault="00F36ADD">
      <w:pPr>
        <w:ind w:firstLine="426"/>
        <w:jc w:val="center"/>
      </w:pPr>
      <w:r>
        <w:rPr>
          <w:b/>
          <w:bCs/>
        </w:rPr>
        <w:t> </w:t>
      </w:r>
    </w:p>
    <w:p w:rsidR="00000000" w:rsidRDefault="00F36ADD">
      <w:pPr>
        <w:jc w:val="center"/>
      </w:pPr>
      <w:r>
        <w:rPr>
          <w:rStyle w:val="s1"/>
        </w:rPr>
        <w:t>Таблица Г.1 - Организация аллей и дорог парка, лесопарка и других крупных объектов рекреации</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1783"/>
        <w:gridCol w:w="1145"/>
        <w:gridCol w:w="3159"/>
        <w:gridCol w:w="3248"/>
      </w:tblGrid>
      <w:tr w:rsidR="00000000">
        <w:trPr>
          <w:trHeight w:val="20"/>
        </w:trPr>
        <w:tc>
          <w:tcPr>
            <w:tcW w:w="87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Типы аллей и дорог</w:t>
            </w:r>
          </w:p>
        </w:tc>
        <w:tc>
          <w:tcPr>
            <w:tcW w:w="6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Ширина (м)</w:t>
            </w:r>
          </w:p>
        </w:tc>
        <w:tc>
          <w:tcPr>
            <w:tcW w:w="17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Назначение</w:t>
            </w:r>
          </w:p>
        </w:tc>
        <w:tc>
          <w:tcPr>
            <w:tcW w:w="17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Рекомендации по благоустройству</w:t>
            </w:r>
          </w:p>
        </w:tc>
      </w:tr>
      <w:tr w:rsidR="00000000">
        <w:trPr>
          <w:trHeight w:val="20"/>
        </w:trPr>
        <w:tc>
          <w:tcPr>
            <w:tcW w:w="8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Основные пешеходные аллеи и дороги</w:t>
            </w:r>
            <w:r>
              <w:rPr>
                <w:vertAlign w:val="superscript"/>
              </w:rPr>
              <w:t>*</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6-9</w:t>
            </w:r>
          </w:p>
        </w:tc>
        <w:tc>
          <w:tcPr>
            <w:tcW w:w="1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Интенсивное пешеходное движение (более 300 ч/час). Допускается проезд внутрипаркового транспорта. Соединяет функциональные зоны и участки между собой, те и другие с основными входами.</w:t>
            </w:r>
          </w:p>
        </w:tc>
        <w:tc>
          <w:tcPr>
            <w:tcW w:w="1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Допускаются зеленые разделительные полосы шириной порядка 2 м, через каждые 25-30 м - проходы. Если аллея на берегу водоема, ее поперечный профиль может быть решен в разных уровнях, которые связаны откосами, стенками и лестницами. Покрытие: твердое (плитк</w:t>
            </w:r>
            <w:r>
              <w:t xml:space="preserve">а, асфальтобетон) с обрамлением бортовым </w:t>
            </w:r>
            <w:r>
              <w:lastRenderedPageBreak/>
              <w:t>камнем. Обрезка ветвей на высоту 2,5 м.</w:t>
            </w:r>
          </w:p>
        </w:tc>
      </w:tr>
      <w:tr w:rsidR="00000000">
        <w:trPr>
          <w:trHeight w:val="20"/>
        </w:trPr>
        <w:tc>
          <w:tcPr>
            <w:tcW w:w="8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Второстепенные аллеи и дороги</w:t>
            </w:r>
            <w:r>
              <w:rPr>
                <w:vertAlign w:val="superscript"/>
              </w:rPr>
              <w:t>*</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3-4,5</w:t>
            </w:r>
          </w:p>
        </w:tc>
        <w:tc>
          <w:tcPr>
            <w:tcW w:w="1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Интенсивное пешеходное движение (до 300 ч/час). Допускается проезд эксплуатационного транспорта. Соединяют второстепенные входы и парковы</w:t>
            </w:r>
            <w:r>
              <w:t>е объекты между собой.</w:t>
            </w:r>
          </w:p>
        </w:tc>
        <w:tc>
          <w:tcPr>
            <w:tcW w:w="1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2,0-2,5 м. Садовый борт, бордюры из цветов и трав, водоотв</w:t>
            </w:r>
            <w:r>
              <w:t>одные лотки или др.</w:t>
            </w:r>
          </w:p>
        </w:tc>
      </w:tr>
    </w:tbl>
    <w:p w:rsidR="00000000" w:rsidRDefault="00F36ADD">
      <w:pPr>
        <w:ind w:firstLine="426"/>
      </w:pPr>
      <w:r>
        <w:rPr>
          <w:b/>
          <w:bCs/>
        </w:rPr>
        <w:t> </w:t>
      </w:r>
    </w:p>
    <w:p w:rsidR="00000000" w:rsidRDefault="00F36ADD">
      <w:pPr>
        <w:jc w:val="center"/>
      </w:pPr>
      <w:r>
        <w:rPr>
          <w:rStyle w:val="s1"/>
        </w:rPr>
        <w:t>Таблица Г.2 - Организация площадок городского парка (в кв. метрах)</w:t>
      </w:r>
    </w:p>
    <w:p w:rsidR="00000000" w:rsidRDefault="00F36ADD">
      <w:pPr>
        <w:ind w:firstLine="426"/>
        <w:jc w:val="center"/>
      </w:pPr>
      <w:r>
        <w:t> </w:t>
      </w:r>
    </w:p>
    <w:tbl>
      <w:tblPr>
        <w:tblW w:w="4986" w:type="pct"/>
        <w:tblCellMar>
          <w:left w:w="0" w:type="dxa"/>
          <w:right w:w="0" w:type="dxa"/>
        </w:tblCellMar>
        <w:tblLook w:val="04A0" w:firstRow="1" w:lastRow="0" w:firstColumn="1" w:lastColumn="0" w:noHBand="0" w:noVBand="1"/>
      </w:tblPr>
      <w:tblGrid>
        <w:gridCol w:w="1720"/>
        <w:gridCol w:w="2038"/>
        <w:gridCol w:w="2293"/>
        <w:gridCol w:w="2041"/>
        <w:gridCol w:w="1217"/>
      </w:tblGrid>
      <w:tr w:rsidR="00000000">
        <w:trPr>
          <w:trHeight w:val="20"/>
        </w:trPr>
        <w:tc>
          <w:tcPr>
            <w:tcW w:w="8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Парковые площади и площадки</w:t>
            </w:r>
          </w:p>
        </w:tc>
        <w:tc>
          <w:tcPr>
            <w:tcW w:w="11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Назначение</w:t>
            </w:r>
          </w:p>
        </w:tc>
        <w:tc>
          <w:tcPr>
            <w:tcW w:w="12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Элементы благоустройства</w:t>
            </w:r>
          </w:p>
        </w:tc>
        <w:tc>
          <w:tcPr>
            <w:tcW w:w="11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Размеры (кв. м)</w:t>
            </w:r>
          </w:p>
        </w:tc>
        <w:tc>
          <w:tcPr>
            <w:tcW w:w="6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Мин. норма на посетителя (кв. м)</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Основные площадки</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Центры парковой планировки, размещаются на пересечении аллей, у входной части парка, перед сооружениями</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Бассейны, фонтаны, скульптура, партерная зелень, цветники, парадное и декоративное освещение. Покрытие: плиточное мощение, бортовой камень</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С учетом проп</w:t>
            </w:r>
            <w:r>
              <w:t>ускной способности отходящих от входа аллей</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Площади массовых мероприятий</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Осветительное оборудование (</w:t>
            </w:r>
            <w:r>
              <w:t>фонари, прожекторы). Посадки - по периметру. Покрытие: газонное, твердое (плитка), комбинированное</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1200-5000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1,0-2,5</w:t>
            </w:r>
          </w:p>
        </w:tc>
      </w:tr>
      <w:tr w:rsidR="00000000">
        <w:trPr>
          <w:trHeight w:val="20"/>
        </w:trPr>
        <w:tc>
          <w:tcPr>
            <w:tcW w:w="87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Дополнительны е пешеходные дороги</w:t>
            </w:r>
          </w:p>
        </w:tc>
        <w:tc>
          <w:tcPr>
            <w:tcW w:w="1114"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1,5-2,5</w:t>
            </w:r>
          </w:p>
        </w:tc>
        <w:tc>
          <w:tcPr>
            <w:tcW w:w="1251" w:type="pct"/>
            <w:tcBorders>
              <w:top w:val="nil"/>
              <w:left w:val="nil"/>
              <w:bottom w:val="nil"/>
              <w:right w:val="single" w:sz="8" w:space="0" w:color="auto"/>
            </w:tcBorders>
            <w:tcMar>
              <w:top w:w="0" w:type="dxa"/>
              <w:left w:w="40" w:type="dxa"/>
              <w:bottom w:w="0" w:type="dxa"/>
              <w:right w:w="40" w:type="dxa"/>
            </w:tcMar>
            <w:hideMark/>
          </w:tcPr>
          <w:p w:rsidR="00000000" w:rsidRDefault="00F36ADD">
            <w:r>
              <w:t xml:space="preserve">Пешеходное движение малой интенсивности. Проезд транспорта не допускается. Подводят к отдельным </w:t>
            </w:r>
            <w:r>
              <w:t>парковым сооружениям.</w:t>
            </w:r>
          </w:p>
        </w:tc>
        <w:tc>
          <w:tcPr>
            <w:tcW w:w="1115" w:type="pct"/>
            <w:tcBorders>
              <w:top w:val="nil"/>
              <w:left w:val="nil"/>
              <w:bottom w:val="nil"/>
              <w:right w:val="single" w:sz="8" w:space="0" w:color="auto"/>
            </w:tcBorders>
            <w:tcMar>
              <w:top w:w="0" w:type="dxa"/>
              <w:left w:w="40" w:type="dxa"/>
              <w:bottom w:w="0" w:type="dxa"/>
              <w:right w:w="40" w:type="dxa"/>
            </w:tcMar>
            <w:hideMark/>
          </w:tcPr>
          <w:p w:rsidR="00000000" w:rsidRDefault="00F36ADD">
            <w:r>
              <w:t>Свободная трассировка, каждый поворот оправдан и зафиксирован объектом, сооружением, группой или одиночными насаждениями.</w:t>
            </w:r>
          </w:p>
        </w:tc>
        <w:tc>
          <w:tcPr>
            <w:tcW w:w="642"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8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1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2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1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Продольный уклон допускается 80┐. Покрытие: </w:t>
            </w:r>
            <w:r>
              <w:lastRenderedPageBreak/>
              <w:t>плитка, грунтовое улучшенное.</w:t>
            </w:r>
          </w:p>
        </w:tc>
        <w:tc>
          <w:tcPr>
            <w:tcW w:w="6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lastRenderedPageBreak/>
              <w:t> </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Тропы</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0,75-1,0</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Дополнительная прогулочная сеть с естественным характером ландшафта.</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Трассируется по крутым склонам, через чащи, овраги, ручьи. Покрытие: грунтовое естественное.</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Велосипедные дорожки</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1,5-2,25</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Велосипедные прогулки.</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Трассирование замкнутое (кольцевое, пе</w:t>
            </w:r>
            <w:r>
              <w:t>тельное, восьмерочное). Рекомендуется пункт техобслуживания. Покрытие твердое. Обрезка ветвей на высоту 2,5 м.</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Дороги для конной езды</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4,0-6,0</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Прогулки верхом, в экипажах, санях. Допускается проезд эксплуатационного транспорта.</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Наибольшие продольные укло</w:t>
            </w:r>
            <w:r>
              <w:t>ны до 60. Обрезка ветвей на высоту 4 м. Покрытие: грунтовое улучшенное.</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367"/>
        </w:trPr>
        <w:tc>
          <w:tcPr>
            <w:tcW w:w="87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Автомобильная дорога (парквей)</w:t>
            </w:r>
          </w:p>
        </w:tc>
        <w:tc>
          <w:tcPr>
            <w:tcW w:w="1114"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4,5-7,0</w:t>
            </w:r>
          </w:p>
        </w:tc>
        <w:tc>
          <w:tcPr>
            <w:tcW w:w="1251" w:type="pct"/>
            <w:tcBorders>
              <w:top w:val="nil"/>
              <w:left w:val="nil"/>
              <w:bottom w:val="nil"/>
              <w:right w:val="single" w:sz="8" w:space="0" w:color="auto"/>
            </w:tcBorders>
            <w:tcMar>
              <w:top w:w="0" w:type="dxa"/>
              <w:left w:w="40" w:type="dxa"/>
              <w:bottom w:w="0" w:type="dxa"/>
              <w:right w:w="40" w:type="dxa"/>
            </w:tcMar>
            <w:hideMark/>
          </w:tcPr>
          <w:p w:rsidR="00000000" w:rsidRDefault="00F36ADD">
            <w:r>
              <w:t>Автомобильные прогулки и проезд внутрипаркового транспорта. Допускается проезд эксплуатационного транспорта.</w:t>
            </w:r>
          </w:p>
        </w:tc>
        <w:tc>
          <w:tcPr>
            <w:tcW w:w="1115" w:type="pct"/>
            <w:tcBorders>
              <w:top w:val="nil"/>
              <w:left w:val="nil"/>
              <w:bottom w:val="nil"/>
              <w:right w:val="single" w:sz="8" w:space="0" w:color="auto"/>
            </w:tcBorders>
            <w:tcMar>
              <w:top w:w="0" w:type="dxa"/>
              <w:left w:w="40" w:type="dxa"/>
              <w:bottom w:w="0" w:type="dxa"/>
              <w:right w:w="40" w:type="dxa"/>
            </w:tcMar>
            <w:hideMark/>
          </w:tcPr>
          <w:p w:rsidR="00000000" w:rsidRDefault="00F36ADD">
            <w:r>
              <w:t>Трассируется по периферии лесопарка в стороне от пешеходных коммуникаций. Наибольший продольный уклон 70┐, макс, скорость - 40 км/час. Радиусы закруглений - не менее 15 м. Покрытие: асфальтобетон, щебеночное, гравийное, обработка вяжущими, бордюрный камень</w:t>
            </w:r>
            <w:r>
              <w:t>.</w:t>
            </w:r>
          </w:p>
        </w:tc>
        <w:tc>
          <w:tcPr>
            <w:tcW w:w="642"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8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Площадки отдыха, лужайки</w:t>
            </w:r>
          </w:p>
        </w:tc>
        <w:tc>
          <w:tcPr>
            <w:tcW w:w="11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В различных частях парка</w:t>
            </w:r>
          </w:p>
        </w:tc>
        <w:tc>
          <w:tcPr>
            <w:tcW w:w="12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Везде: освещение, беседки, перголы, </w:t>
            </w:r>
            <w:r>
              <w:lastRenderedPageBreak/>
              <w:t>трельяжи, скамьи, урны.</w:t>
            </w:r>
          </w:p>
        </w:tc>
        <w:tc>
          <w:tcPr>
            <w:tcW w:w="11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lastRenderedPageBreak/>
              <w:t>20-200</w:t>
            </w:r>
          </w:p>
        </w:tc>
        <w:tc>
          <w:tcPr>
            <w:tcW w:w="6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5-20</w:t>
            </w:r>
          </w:p>
        </w:tc>
      </w:tr>
      <w:tr w:rsidR="00000000">
        <w:trPr>
          <w:trHeight w:val="20"/>
        </w:trPr>
        <w:tc>
          <w:tcPr>
            <w:tcW w:w="87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 </w:t>
            </w:r>
          </w:p>
        </w:tc>
        <w:tc>
          <w:tcPr>
            <w:tcW w:w="1114" w:type="pct"/>
            <w:tcBorders>
              <w:top w:val="nil"/>
              <w:left w:val="nil"/>
              <w:bottom w:val="nil"/>
              <w:right w:val="single" w:sz="8" w:space="0" w:color="auto"/>
            </w:tcBorders>
            <w:tcMar>
              <w:top w:w="0" w:type="dxa"/>
              <w:left w:w="40" w:type="dxa"/>
              <w:bottom w:w="0" w:type="dxa"/>
              <w:right w:w="40" w:type="dxa"/>
            </w:tcMar>
            <w:hideMark/>
          </w:tcPr>
          <w:p w:rsidR="00000000" w:rsidRDefault="00F36ADD">
            <w:r>
              <w:t xml:space="preserve">Виды площадок: </w:t>
            </w:r>
          </w:p>
          <w:p w:rsidR="00000000" w:rsidRDefault="00F36ADD">
            <w:r>
              <w:t xml:space="preserve">- регулярной планировки с регулярным озеленением; </w:t>
            </w:r>
          </w:p>
          <w:p w:rsidR="00000000" w:rsidRDefault="00F36ADD">
            <w:r>
              <w:t>- регулярной планировки с обрамлением свободными группами р</w:t>
            </w:r>
            <w:r>
              <w:t xml:space="preserve">астений; </w:t>
            </w:r>
          </w:p>
          <w:p w:rsidR="00000000" w:rsidRDefault="00F36ADD">
            <w:r>
              <w:t>- свободной планировки с обрамлением свободными группами растений</w:t>
            </w:r>
          </w:p>
        </w:tc>
        <w:tc>
          <w:tcPr>
            <w:tcW w:w="1251" w:type="pct"/>
            <w:tcBorders>
              <w:top w:val="nil"/>
              <w:left w:val="nil"/>
              <w:bottom w:val="nil"/>
              <w:right w:val="single" w:sz="8" w:space="0" w:color="auto"/>
            </w:tcBorders>
            <w:tcMar>
              <w:top w:w="0" w:type="dxa"/>
              <w:left w:w="40" w:type="dxa"/>
              <w:bottom w:w="0" w:type="dxa"/>
              <w:right w:w="40" w:type="dxa"/>
            </w:tcMar>
            <w:hideMark/>
          </w:tcPr>
          <w:p w:rsidR="00000000" w:rsidRDefault="00F36ADD">
            <w:r>
              <w:t>Декоративное оформление в центре (цветник, фонтан, скульптура, вазон). Покрытие: мощение плиткой, бортовой камень, бордюры из цветов и трав. На площадках-лужайках - газон</w:t>
            </w:r>
          </w:p>
        </w:tc>
        <w:tc>
          <w:tcPr>
            <w:tcW w:w="1115" w:type="pct"/>
            <w:tcBorders>
              <w:top w:val="nil"/>
              <w:left w:val="nil"/>
              <w:bottom w:val="nil"/>
              <w:right w:val="single" w:sz="8" w:space="0" w:color="auto"/>
            </w:tcBorders>
            <w:tcMar>
              <w:top w:w="0" w:type="dxa"/>
              <w:left w:w="40" w:type="dxa"/>
              <w:bottom w:w="0" w:type="dxa"/>
              <w:right w:w="40" w:type="dxa"/>
            </w:tcMar>
            <w:hideMark/>
          </w:tcPr>
          <w:p w:rsidR="00000000" w:rsidRDefault="00F36ADD">
            <w:r>
              <w:t> </w:t>
            </w:r>
          </w:p>
        </w:tc>
        <w:tc>
          <w:tcPr>
            <w:tcW w:w="642"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8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Танц</w:t>
            </w:r>
            <w:r>
              <w:t>евальные площадки, сооружения</w:t>
            </w:r>
          </w:p>
        </w:tc>
        <w:tc>
          <w:tcPr>
            <w:tcW w:w="11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Размещаются рядом с главными или второстепенными аллеями</w:t>
            </w:r>
          </w:p>
        </w:tc>
        <w:tc>
          <w:tcPr>
            <w:tcW w:w="12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Освещение, ограждение, скамьи, урны. Покрытие: специальное</w:t>
            </w:r>
          </w:p>
        </w:tc>
        <w:tc>
          <w:tcPr>
            <w:tcW w:w="11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150-500</w:t>
            </w:r>
          </w:p>
        </w:tc>
        <w:tc>
          <w:tcPr>
            <w:tcW w:w="6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Игровые площадки для детей:</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Малоподвижные индивидуальные, подвижные коллективные игры</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Игровое, физкультурно-оздоровительное оборудование, освещение, скамьи, урны</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до 3 лет</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Размещение вдоль второстепенных аллей</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Покрытие: песчаное, грунтовое улучшенное, газон</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10-100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- 4-6 лет</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120-300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- 7-14 лет</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500-2000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r>
      <w:tr w:rsidR="00000000">
        <w:trPr>
          <w:trHeight w:val="20"/>
        </w:trPr>
        <w:tc>
          <w:tcPr>
            <w:tcW w:w="8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Игровые к</w:t>
            </w:r>
            <w:r>
              <w:t>омплексы для детей до 14 лет</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Подвижные коллективные игры</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1200-1700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15,0</w:t>
            </w:r>
          </w:p>
        </w:tc>
      </w:tr>
      <w:tr w:rsidR="00000000">
        <w:trPr>
          <w:trHeight w:val="20"/>
        </w:trPr>
        <w:tc>
          <w:tcPr>
            <w:tcW w:w="87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Спортивно-игровые для детей и подростков 10-17 лет, для взрослых</w:t>
            </w:r>
          </w:p>
        </w:tc>
        <w:tc>
          <w:tcPr>
            <w:tcW w:w="1114" w:type="pct"/>
            <w:tcBorders>
              <w:top w:val="nil"/>
              <w:left w:val="nil"/>
              <w:bottom w:val="nil"/>
              <w:right w:val="single" w:sz="8" w:space="0" w:color="auto"/>
            </w:tcBorders>
            <w:tcMar>
              <w:top w:w="0" w:type="dxa"/>
              <w:left w:w="40" w:type="dxa"/>
              <w:bottom w:w="0" w:type="dxa"/>
              <w:right w:w="40" w:type="dxa"/>
            </w:tcMar>
            <w:hideMark/>
          </w:tcPr>
          <w:p w:rsidR="00000000" w:rsidRDefault="00F36ADD">
            <w:r>
              <w:t>Различные подвижные игры и развлечения, в т.ч. велодромы, скалодромы, минирампы, катание на роликовых коньках и пр.</w:t>
            </w:r>
          </w:p>
        </w:tc>
        <w:tc>
          <w:tcPr>
            <w:tcW w:w="1251" w:type="pct"/>
            <w:tcBorders>
              <w:top w:val="nil"/>
              <w:left w:val="nil"/>
              <w:bottom w:val="nil"/>
              <w:right w:val="single" w:sz="8" w:space="0" w:color="auto"/>
            </w:tcBorders>
            <w:tcMar>
              <w:top w:w="0" w:type="dxa"/>
              <w:left w:w="40" w:type="dxa"/>
              <w:bottom w:w="0" w:type="dxa"/>
              <w:right w:w="40" w:type="dxa"/>
            </w:tcMar>
            <w:hideMark/>
          </w:tcPr>
          <w:p w:rsidR="00000000" w:rsidRDefault="00F36ADD">
            <w:r>
              <w:t>Специальное оборудование и благоустройство, рассчитанное на конкретное спортивно-игровое использование</w:t>
            </w:r>
          </w:p>
        </w:tc>
        <w:tc>
          <w:tcPr>
            <w:tcW w:w="1115"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150-7000</w:t>
            </w:r>
          </w:p>
        </w:tc>
        <w:tc>
          <w:tcPr>
            <w:tcW w:w="642"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10,0</w:t>
            </w:r>
          </w:p>
        </w:tc>
      </w:tr>
      <w:tr w:rsidR="00000000">
        <w:trPr>
          <w:trHeight w:val="20"/>
        </w:trPr>
        <w:tc>
          <w:tcPr>
            <w:tcW w:w="8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Предпарковые площади с автостоянкой</w:t>
            </w:r>
          </w:p>
        </w:tc>
        <w:tc>
          <w:tcPr>
            <w:tcW w:w="11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У входов в парк, у мест пересечения подъездов к парку </w:t>
            </w:r>
            <w:r>
              <w:lastRenderedPageBreak/>
              <w:t>с городским транспортом</w:t>
            </w:r>
          </w:p>
        </w:tc>
        <w:tc>
          <w:tcPr>
            <w:tcW w:w="12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lastRenderedPageBreak/>
              <w:t>Покрытие: асфальтобетонн</w:t>
            </w:r>
            <w:r>
              <w:t xml:space="preserve">ое, плиточное, плитки и соты, утопленные в </w:t>
            </w:r>
            <w:r>
              <w:lastRenderedPageBreak/>
              <w:t>газон, - оборудованы бортовым камнем</w:t>
            </w:r>
          </w:p>
        </w:tc>
        <w:tc>
          <w:tcPr>
            <w:tcW w:w="11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lastRenderedPageBreak/>
              <w:t xml:space="preserve">Определяются транспортными требованиями и графиком </w:t>
            </w:r>
            <w:r>
              <w:lastRenderedPageBreak/>
              <w:t>движения транспорта</w:t>
            </w:r>
          </w:p>
        </w:tc>
        <w:tc>
          <w:tcPr>
            <w:tcW w:w="6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lastRenderedPageBreak/>
              <w:t> </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ПРИМЕЧАНИЕ 1. В ширину пешеходных аллей включаются зоны пешеходного движения, разграничительные зелены</w:t>
            </w:r>
            <w:r>
              <w:t xml:space="preserve">е полосы, водоотводные лотки и площадки для установки скамеек. Устройство разграничительных зеленых полос необходимо при ширине более 6 м. </w:t>
            </w:r>
          </w:p>
          <w:p w:rsidR="00000000" w:rsidRDefault="00F36ADD">
            <w:r>
              <w:t xml:space="preserve">ПРИМЕЧАНИЕ 2. На типах аллей и дорог, помеченных знаком </w:t>
            </w:r>
            <w:r>
              <w:rPr>
                <w:vertAlign w:val="superscript"/>
              </w:rPr>
              <w:t>*</w:t>
            </w:r>
            <w:r>
              <w:t>, допускается катание на роликовых досках, коньках, самокат</w:t>
            </w:r>
            <w:r>
              <w:t xml:space="preserve">ах, помимо специально оборудованных территорий. </w:t>
            </w:r>
          </w:p>
          <w:p w:rsidR="00000000" w:rsidRDefault="00F36ADD">
            <w:r>
              <w:t>ПРИМЕЧАНИЕ 3. Автомобильные дороги следует предусматривать в лесопарках с размером территории более 100 га.</w:t>
            </w:r>
          </w:p>
        </w:tc>
      </w:tr>
    </w:tbl>
    <w:p w:rsidR="00000000" w:rsidRDefault="00F36ADD">
      <w:pPr>
        <w:ind w:firstLine="426"/>
      </w:pPr>
      <w:r>
        <w:rPr>
          <w:b/>
          <w:bCs/>
        </w:rPr>
        <w:t> </w:t>
      </w:r>
    </w:p>
    <w:p w:rsidR="00000000" w:rsidRDefault="00F36ADD">
      <w:pPr>
        <w:jc w:val="center"/>
      </w:pPr>
      <w:r>
        <w:rPr>
          <w:rStyle w:val="s1"/>
        </w:rPr>
        <w:t>Таблица Г.3 - Площади и пропускная способность парковых сооружений и площадок</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3206"/>
        <w:gridCol w:w="3082"/>
        <w:gridCol w:w="3047"/>
      </w:tblGrid>
      <w:tr w:rsidR="00000000">
        <w:trPr>
          <w:trHeight w:val="20"/>
        </w:trPr>
        <w:tc>
          <w:tcPr>
            <w:tcW w:w="171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Наименование объектов и сооружений</w:t>
            </w:r>
          </w:p>
        </w:tc>
        <w:tc>
          <w:tcPr>
            <w:tcW w:w="16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Пропускная способность одного места или объекта</w:t>
            </w:r>
          </w:p>
          <w:p w:rsidR="00000000" w:rsidRDefault="00F36ADD">
            <w:pPr>
              <w:jc w:val="center"/>
            </w:pPr>
            <w:r>
              <w:t>(человек в день)</w:t>
            </w:r>
          </w:p>
        </w:tc>
        <w:tc>
          <w:tcPr>
            <w:tcW w:w="16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Норма площади в кв. м на одно место или один объект</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Аттракцион крупный</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250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800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Малый</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Бассейн для плавания: открытый</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50×5</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25×10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Игротека</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хорового пения</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(терраса, зал) для танцев</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Открытый театр</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Летний кинотеатр (без фойе)</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Летний цирк</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Выставочный павильон</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Открытый лекторий</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0,5</w:t>
            </w:r>
          </w:p>
        </w:tc>
      </w:tr>
      <w:tr w:rsidR="00000000">
        <w:trPr>
          <w:trHeight w:val="20"/>
        </w:trPr>
        <w:tc>
          <w:tcPr>
            <w:tcW w:w="171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Павильон для чтения и тихих игр</w:t>
            </w:r>
          </w:p>
        </w:tc>
        <w:tc>
          <w:tcPr>
            <w:tcW w:w="1651"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6,0</w:t>
            </w:r>
          </w:p>
        </w:tc>
        <w:tc>
          <w:tcPr>
            <w:tcW w:w="1632"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3,0</w:t>
            </w:r>
          </w:p>
        </w:tc>
      </w:tr>
      <w:tr w:rsidR="00000000">
        <w:trPr>
          <w:trHeight w:val="20"/>
        </w:trPr>
        <w:tc>
          <w:tcPr>
            <w:tcW w:w="171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Кафе</w:t>
            </w:r>
          </w:p>
        </w:tc>
        <w:tc>
          <w:tcPr>
            <w:tcW w:w="16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w:t>
            </w:r>
          </w:p>
        </w:tc>
        <w:tc>
          <w:tcPr>
            <w:tcW w:w="16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2,5</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Торговый киоск</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Киоск-библиотека</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Касса</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120,0 (в 1 час)</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Туалет</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20,0 (в 1 час)</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Беседки для отдыха</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 од но-лыжная станция</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Физкультурно-тренажерный зал</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Летняя раздевалка</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Зимняя раздевалка</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Летний душ с раздевалками</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Стоянки для автомобилей</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 машины</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25,0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Стоянки для велосипедов</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 машины</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Биллиардная (1 стол)</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Детский автодром</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Каток</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100×4</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51×24</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Корт для тенниса (крытый)</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4×5</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30×18</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бадминтона</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4×5</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6,1×13,4</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Площадка для баскетбола</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15×4</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26×14</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волейбола</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18×4</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19×9</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гимнастики</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30×5</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40×26</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городков</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10×5</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30×15</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дошкольников</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массовых игр</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наст, тенниса 1 стол</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5×4</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2,7×1,52</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Площадка для тенниса</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4×5</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40×20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Поле для футбола</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24×2</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90×45</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Поле для хоккея с шайбой</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20×2</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60×30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Спортивное ядро, стадион</w:t>
            </w:r>
            <w:r>
              <w:rPr>
                <w:vertAlign w:val="superscript"/>
              </w:rPr>
              <w:t>*</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20×2</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96×120</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Консультационный пункт</w:t>
            </w:r>
          </w:p>
        </w:tc>
        <w:tc>
          <w:tcPr>
            <w:tcW w:w="1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w:t>
            </w:r>
          </w:p>
        </w:tc>
        <w:tc>
          <w:tcPr>
            <w:tcW w:w="16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0,4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ПРИЛОЖЕНИЕ 1</w:t>
            </w:r>
            <w:r>
              <w:rPr>
                <w:vertAlign w:val="superscript"/>
              </w:rPr>
              <w:t>*</w:t>
            </w:r>
            <w:r>
              <w:t xml:space="preserve">. Норма площади дана на объект. </w:t>
            </w:r>
          </w:p>
          <w:p w:rsidR="00000000" w:rsidRDefault="00F36ADD">
            <w:r>
              <w:t>ПРИЛОЖЕНИЕ 2</w:t>
            </w:r>
            <w:r>
              <w:rPr>
                <w:vertAlign w:val="superscript"/>
              </w:rPr>
              <w:t>**</w:t>
            </w:r>
            <w:r>
              <w:t>. Объект расположен за границами территории парка.</w:t>
            </w:r>
          </w:p>
        </w:tc>
      </w:tr>
    </w:tbl>
    <w:p w:rsidR="00000000" w:rsidRDefault="00F36ADD">
      <w:pPr>
        <w:ind w:firstLine="426"/>
      </w:pPr>
      <w:r>
        <w:rPr>
          <w:b/>
          <w:bCs/>
        </w:rPr>
        <w:t> </w:t>
      </w:r>
    </w:p>
    <w:p w:rsidR="00000000" w:rsidRDefault="00F36ADD">
      <w:pPr>
        <w:ind w:firstLine="426"/>
        <w:jc w:val="right"/>
      </w:pPr>
      <w:r>
        <w:rPr>
          <w:b/>
          <w:bCs/>
        </w:rPr>
        <w:t>ПРИЛОЖЕНИЕ Д</w:t>
      </w:r>
    </w:p>
    <w:p w:rsidR="00000000" w:rsidRDefault="00F36ADD">
      <w:pPr>
        <w:ind w:firstLine="426"/>
        <w:jc w:val="right"/>
      </w:pPr>
      <w:r>
        <w:rPr>
          <w:i/>
          <w:iCs/>
        </w:rPr>
        <w:t xml:space="preserve">(информационное) </w:t>
      </w:r>
    </w:p>
    <w:p w:rsidR="00000000" w:rsidRDefault="00F36ADD">
      <w:pPr>
        <w:ind w:firstLine="426"/>
        <w:jc w:val="right"/>
      </w:pPr>
      <w:r>
        <w:t> </w:t>
      </w:r>
    </w:p>
    <w:p w:rsidR="00000000" w:rsidRDefault="00F36ADD">
      <w:pPr>
        <w:ind w:firstLine="426"/>
        <w:jc w:val="right"/>
      </w:pPr>
      <w:r>
        <w:t> </w:t>
      </w:r>
    </w:p>
    <w:p w:rsidR="00000000" w:rsidRDefault="00F36ADD">
      <w:pPr>
        <w:jc w:val="center"/>
      </w:pPr>
      <w:r>
        <w:rPr>
          <w:rStyle w:val="s1"/>
        </w:rPr>
        <w:t>Приемы благоустройства на территориях производственного назначения</w:t>
      </w:r>
    </w:p>
    <w:p w:rsidR="00000000" w:rsidRDefault="00F36ADD">
      <w:pPr>
        <w:ind w:firstLine="426"/>
        <w:jc w:val="center"/>
      </w:pPr>
      <w:r>
        <w:t> </w:t>
      </w:r>
    </w:p>
    <w:p w:rsidR="00000000" w:rsidRDefault="00F36ADD">
      <w:pPr>
        <w:jc w:val="center"/>
      </w:pPr>
      <w:r>
        <w:rPr>
          <w:rStyle w:val="s1"/>
        </w:rPr>
        <w:t>Таблица Д.1 - Благоустройство производственных объектов различных отраслей</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2350"/>
        <w:gridCol w:w="2535"/>
        <w:gridCol w:w="4450"/>
      </w:tblGrid>
      <w:tr w:rsidR="00000000">
        <w:trPr>
          <w:trHeight w:val="20"/>
        </w:trPr>
        <w:tc>
          <w:tcPr>
            <w:tcW w:w="12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Отрасли предприятий</w:t>
            </w:r>
          </w:p>
        </w:tc>
        <w:tc>
          <w:tcPr>
            <w:tcW w:w="13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Мероприятия защиты окружающей среды</w:t>
            </w:r>
          </w:p>
        </w:tc>
        <w:tc>
          <w:tcPr>
            <w:tcW w:w="24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Рекомендуемые приемы благоустройства</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Приборостроительная и радиоэлектронная промышленность</w:t>
            </w:r>
          </w:p>
        </w:tc>
        <w:tc>
          <w:tcPr>
            <w:tcW w:w="1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Изоляция цехов от подсобных, складских зон и улиц; </w:t>
            </w:r>
          </w:p>
          <w:p w:rsidR="00000000" w:rsidRDefault="00F36ADD">
            <w:r>
              <w:t>Защита территории от пыли и других вредностей, а также от перегрева солнцем.</w:t>
            </w:r>
          </w:p>
        </w:tc>
        <w:tc>
          <w:tcPr>
            <w:tcW w:w="2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Максимальное применение газонного покрытия, твердые покрытия только из твердых непылящих материалов. </w:t>
            </w:r>
          </w:p>
          <w:p w:rsidR="00000000" w:rsidRDefault="00F36ADD">
            <w:r>
              <w:t>Устройство водоемов, фонт</w:t>
            </w:r>
            <w:r>
              <w:t xml:space="preserve">анов и поливочного водопровода. </w:t>
            </w:r>
          </w:p>
          <w:p w:rsidR="00000000" w:rsidRDefault="00F36ADD">
            <w:r>
              <w:t xml:space="preserve">Плотные посадки защитных полос из массивов и групп. </w:t>
            </w:r>
          </w:p>
          <w:p w:rsidR="00000000" w:rsidRDefault="00F36ADD">
            <w:r>
              <w:t xml:space="preserve">Рядовые посадки вдоль основных подходов. </w:t>
            </w:r>
          </w:p>
          <w:p w:rsidR="00000000" w:rsidRDefault="00F36ADD">
            <w:r>
              <w:t xml:space="preserve">Недопустимы растения, засоряющие среду пыльцой, семенами, волосками, пухом. </w:t>
            </w:r>
          </w:p>
          <w:p w:rsidR="00000000" w:rsidRDefault="00F36ADD">
            <w:r>
              <w:t>Рекомендуемые: фруктовые деревья, цветники, розарии</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Текстильная промышленность</w:t>
            </w:r>
          </w:p>
        </w:tc>
        <w:tc>
          <w:tcPr>
            <w:tcW w:w="1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Изоляция отделочных цехов; </w:t>
            </w:r>
          </w:p>
          <w:p w:rsidR="00000000" w:rsidRDefault="00F36ADD">
            <w:r>
              <w:t xml:space="preserve">Создание комфортных условий отдыха и передвижения по территории; </w:t>
            </w:r>
          </w:p>
          <w:p w:rsidR="00000000" w:rsidRDefault="00F36ADD">
            <w:r>
              <w:t>Шумозащита</w:t>
            </w:r>
          </w:p>
        </w:tc>
        <w:tc>
          <w:tcPr>
            <w:tcW w:w="2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Размещение площадок отдыха вне зоны влияния отделочных цехов. </w:t>
            </w:r>
          </w:p>
          <w:p w:rsidR="00000000" w:rsidRDefault="00F36ADD">
            <w:r>
              <w:t xml:space="preserve">Озеленение вокруг отделочных цехов, обеспечивающее хорошую </w:t>
            </w:r>
            <w:r>
              <w:t>аэрацию.</w:t>
            </w:r>
          </w:p>
          <w:p w:rsidR="00000000" w:rsidRDefault="00F36ADD">
            <w:r>
              <w:t xml:space="preserve">Широкое применение цветников, фонтанов, декоративной скульптуры, игровых устройств, средств информации. </w:t>
            </w:r>
          </w:p>
          <w:p w:rsidR="00000000" w:rsidRDefault="00F36ADD">
            <w:r>
              <w:t xml:space="preserve">Шумозащита площадок отдыха. </w:t>
            </w:r>
          </w:p>
          <w:p w:rsidR="00000000" w:rsidRDefault="00F36ADD">
            <w:r>
              <w:t xml:space="preserve">Сады на плоских крышах корпусов. </w:t>
            </w:r>
          </w:p>
          <w:p w:rsidR="00000000" w:rsidRDefault="00F36ADD">
            <w:r>
              <w:lastRenderedPageBreak/>
              <w:t xml:space="preserve">Ограничений ассортимента нет: лиственные, хвойные, красивоцветущие кустарники, </w:t>
            </w:r>
            <w:r>
              <w:t>лианы и др.</w:t>
            </w:r>
          </w:p>
        </w:tc>
      </w:tr>
      <w:tr w:rsidR="00000000">
        <w:trPr>
          <w:trHeight w:val="1590"/>
        </w:trPr>
        <w:tc>
          <w:tcPr>
            <w:tcW w:w="121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lastRenderedPageBreak/>
              <w:t>Маслосыродельная и молочная промышленность</w:t>
            </w:r>
          </w:p>
        </w:tc>
        <w:tc>
          <w:tcPr>
            <w:tcW w:w="1382" w:type="pct"/>
            <w:tcBorders>
              <w:top w:val="nil"/>
              <w:left w:val="nil"/>
              <w:bottom w:val="nil"/>
              <w:right w:val="single" w:sz="8" w:space="0" w:color="auto"/>
            </w:tcBorders>
            <w:tcMar>
              <w:top w:w="0" w:type="dxa"/>
              <w:left w:w="40" w:type="dxa"/>
              <w:bottom w:w="0" w:type="dxa"/>
              <w:right w:w="40" w:type="dxa"/>
            </w:tcMar>
            <w:hideMark/>
          </w:tcPr>
          <w:p w:rsidR="00000000" w:rsidRDefault="00F36ADD">
            <w:r>
              <w:t xml:space="preserve">Изоляция производственных цехов от инженерно-транспортных коммуникаций; </w:t>
            </w:r>
          </w:p>
          <w:p w:rsidR="00000000" w:rsidRDefault="00F36ADD">
            <w:r>
              <w:t>Защита от пыли</w:t>
            </w:r>
          </w:p>
        </w:tc>
        <w:tc>
          <w:tcPr>
            <w:tcW w:w="2407" w:type="pct"/>
            <w:tcBorders>
              <w:top w:val="nil"/>
              <w:left w:val="nil"/>
              <w:bottom w:val="nil"/>
              <w:right w:val="single" w:sz="8" w:space="0" w:color="auto"/>
            </w:tcBorders>
            <w:tcMar>
              <w:top w:w="0" w:type="dxa"/>
              <w:left w:w="40" w:type="dxa"/>
              <w:bottom w:w="0" w:type="dxa"/>
              <w:right w:w="40" w:type="dxa"/>
            </w:tcMar>
            <w:hideMark/>
          </w:tcPr>
          <w:p w:rsidR="00000000" w:rsidRDefault="00F36ADD">
            <w:r>
              <w:t xml:space="preserve">Создание устойчивого газона. </w:t>
            </w:r>
          </w:p>
          <w:p w:rsidR="00000000" w:rsidRDefault="00F36ADD">
            <w:r>
              <w:t xml:space="preserve">Плотные древесно-кустарниковые насаждения занимают до 50% озелененной территории. </w:t>
            </w:r>
          </w:p>
          <w:p w:rsidR="00000000" w:rsidRDefault="00F36ADD">
            <w:r>
              <w:t>Укрупненные однопородные группы насаждений «опоясывают» территорию со всех сторон.</w:t>
            </w:r>
          </w:p>
          <w:p w:rsidR="00000000" w:rsidRDefault="00F36ADD">
            <w:r>
              <w:t xml:space="preserve">Ассортимент, обладающий бактерицидными свойствами: дуб красный, рябина обыкновенная, лиственница европейская, ель белая, сербская и др. </w:t>
            </w:r>
          </w:p>
          <w:p w:rsidR="00000000" w:rsidRDefault="00F36ADD">
            <w:r>
              <w:t>Покрытия проездов - монолитный бетон, тротуары из бетонных плит</w:t>
            </w:r>
          </w:p>
        </w:tc>
      </w:tr>
      <w:tr w:rsidR="00000000">
        <w:trPr>
          <w:trHeight w:val="20"/>
        </w:trPr>
        <w:tc>
          <w:tcPr>
            <w:tcW w:w="12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Хлебопекарная промышленность</w:t>
            </w:r>
          </w:p>
        </w:tc>
        <w:tc>
          <w:tcPr>
            <w:tcW w:w="13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Изоляция прилегающей территории города от производственного шума; </w:t>
            </w:r>
          </w:p>
          <w:p w:rsidR="00000000" w:rsidRDefault="00F36ADD">
            <w:r>
              <w:t>Хорошее проветривание территории</w:t>
            </w:r>
          </w:p>
        </w:tc>
        <w:tc>
          <w:tcPr>
            <w:tcW w:w="24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Производственная зона окружается живописными растянутыми групп</w:t>
            </w:r>
            <w:r>
              <w:t xml:space="preserve">ами и полосами древесных насаждений (липа, клен, тополь канадский, рябина обыкновенная, лиственница сибирская, ель белая). </w:t>
            </w:r>
          </w:p>
          <w:p w:rsidR="00000000" w:rsidRDefault="00F36ADD">
            <w:r>
              <w:t>В предзаводской зоне - одиночные декоративные экземпляры деревьев (ель колючая, сизая, серебристая, клен Шведлера)</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Мясокомбинаты</w:t>
            </w:r>
          </w:p>
        </w:tc>
        <w:tc>
          <w:tcPr>
            <w:tcW w:w="1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За</w:t>
            </w:r>
            <w:r>
              <w:t xml:space="preserve">щита селитебной территории от проникновения запаха; </w:t>
            </w:r>
          </w:p>
          <w:p w:rsidR="00000000" w:rsidRDefault="00F36ADD">
            <w:r>
              <w:t xml:space="preserve">Защита от пыли; </w:t>
            </w:r>
          </w:p>
          <w:p w:rsidR="00000000" w:rsidRDefault="00F36ADD">
            <w:r>
              <w:t>Аэрация территории</w:t>
            </w:r>
          </w:p>
        </w:tc>
        <w:tc>
          <w:tcPr>
            <w:tcW w:w="2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Размещение площадок отдыха у административного корпуса, у многолюдных цехов, и в местах отпуска готовой продукции. </w:t>
            </w:r>
          </w:p>
          <w:p w:rsidR="00000000" w:rsidRDefault="00F36ADD">
            <w:r>
              <w:t xml:space="preserve">Обыкновенный газон, ажурные древесно-кустарниковые </w:t>
            </w:r>
            <w:r>
              <w:t xml:space="preserve">посадки. </w:t>
            </w:r>
          </w:p>
          <w:p w:rsidR="00000000" w:rsidRDefault="00F36ADD">
            <w:r>
              <w:t xml:space="preserve">Ассортимент, обладающий бактерицидными свойствами. </w:t>
            </w:r>
          </w:p>
          <w:p w:rsidR="00000000" w:rsidRDefault="00F36ADD">
            <w:r>
              <w:t>Посадки для визуальной изоляции цехов</w:t>
            </w:r>
          </w:p>
        </w:tc>
      </w:tr>
      <w:tr w:rsidR="00000000">
        <w:trPr>
          <w:trHeight w:val="20"/>
        </w:trPr>
        <w:tc>
          <w:tcPr>
            <w:tcW w:w="1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Строительная промышленность</w:t>
            </w:r>
          </w:p>
        </w:tc>
        <w:tc>
          <w:tcPr>
            <w:tcW w:w="1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Снижение шума, скорости ветра и запыленности на территории; </w:t>
            </w:r>
          </w:p>
          <w:p w:rsidR="00000000" w:rsidRDefault="00F36ADD">
            <w:r>
              <w:t>Изоляция прилегающей территории города;</w:t>
            </w:r>
          </w:p>
          <w:p w:rsidR="00000000" w:rsidRDefault="00F36ADD">
            <w:r>
              <w:t>Оживление монотонной и бес</w:t>
            </w:r>
            <w:r>
              <w:t>цветной среды</w:t>
            </w:r>
          </w:p>
        </w:tc>
        <w:tc>
          <w:tcPr>
            <w:tcW w:w="2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xml:space="preserve">Плотные защитные посадки из больших живописных групп и массивов. </w:t>
            </w:r>
          </w:p>
          <w:p w:rsidR="00000000" w:rsidRDefault="00F36ADD">
            <w:r>
              <w:t xml:space="preserve">Площадки отдыха декорируются яркими цветниками. </w:t>
            </w:r>
          </w:p>
          <w:p w:rsidR="00000000" w:rsidRDefault="00F36ADD">
            <w:r>
              <w:t xml:space="preserve">Активно вводится цвет в застройку, транспортные устройства, МАФ и др. элементы благоустройства. </w:t>
            </w:r>
          </w:p>
          <w:p w:rsidR="00000000" w:rsidRDefault="00F36ADD">
            <w:r>
              <w:t>Ассортимент: клены, ясени, лип</w:t>
            </w:r>
            <w:r>
              <w:t>ы, вязы и т.п.</w:t>
            </w:r>
          </w:p>
        </w:tc>
      </w:tr>
    </w:tbl>
    <w:p w:rsidR="00000000" w:rsidRDefault="00F36ADD">
      <w:pPr>
        <w:ind w:firstLine="426"/>
      </w:pPr>
      <w:r>
        <w:rPr>
          <w:b/>
          <w:bCs/>
        </w:rPr>
        <w:t> </w:t>
      </w:r>
    </w:p>
    <w:p w:rsidR="00000000" w:rsidRDefault="00F36ADD">
      <w:pPr>
        <w:ind w:firstLine="426"/>
        <w:jc w:val="right"/>
      </w:pPr>
      <w:r>
        <w:rPr>
          <w:b/>
          <w:bCs/>
        </w:rPr>
        <w:t>ПРИЛОЖЕНИЕ Е</w:t>
      </w:r>
    </w:p>
    <w:p w:rsidR="00000000" w:rsidRDefault="00F36ADD">
      <w:pPr>
        <w:ind w:firstLine="426"/>
        <w:jc w:val="right"/>
      </w:pPr>
      <w:r>
        <w:rPr>
          <w:i/>
          <w:iCs/>
        </w:rPr>
        <w:t>(информационное)</w:t>
      </w:r>
    </w:p>
    <w:p w:rsidR="00000000" w:rsidRDefault="00F36ADD">
      <w:pPr>
        <w:ind w:firstLine="426"/>
        <w:jc w:val="right"/>
      </w:pPr>
      <w:r>
        <w:rPr>
          <w:b/>
          <w:bCs/>
        </w:rPr>
        <w:t> </w:t>
      </w:r>
    </w:p>
    <w:p w:rsidR="00000000" w:rsidRDefault="00F36ADD">
      <w:pPr>
        <w:ind w:firstLine="426"/>
        <w:jc w:val="right"/>
      </w:pPr>
      <w:r>
        <w:rPr>
          <w:b/>
          <w:bCs/>
        </w:rPr>
        <w:t> </w:t>
      </w:r>
    </w:p>
    <w:p w:rsidR="00000000" w:rsidRDefault="00F36ADD">
      <w:pPr>
        <w:jc w:val="center"/>
      </w:pPr>
      <w:r>
        <w:rPr>
          <w:rStyle w:val="s1"/>
        </w:rPr>
        <w:t>Виды покрытия транспортных и пешеходных коммуникаций</w:t>
      </w:r>
    </w:p>
    <w:p w:rsidR="00000000" w:rsidRDefault="00F36ADD">
      <w:pPr>
        <w:ind w:firstLine="426"/>
        <w:jc w:val="center"/>
      </w:pPr>
      <w:r>
        <w:rPr>
          <w:b/>
          <w:bCs/>
        </w:rPr>
        <w:t> </w:t>
      </w:r>
    </w:p>
    <w:p w:rsidR="00000000" w:rsidRDefault="00F36ADD">
      <w:pPr>
        <w:jc w:val="center"/>
      </w:pPr>
      <w:r>
        <w:rPr>
          <w:rStyle w:val="s1"/>
        </w:rPr>
        <w:lastRenderedPageBreak/>
        <w:t>Таблица Е.1 - Покрытия транспортных коммуникаций</w:t>
      </w:r>
    </w:p>
    <w:p w:rsidR="00000000" w:rsidRDefault="00F36ADD">
      <w:pPr>
        <w:ind w:firstLine="426"/>
        <w:jc w:val="center"/>
      </w:pPr>
      <w:r>
        <w:t> </w:t>
      </w:r>
    </w:p>
    <w:tbl>
      <w:tblPr>
        <w:tblW w:w="5000" w:type="pct"/>
        <w:tblCellMar>
          <w:left w:w="0" w:type="dxa"/>
          <w:right w:w="0" w:type="dxa"/>
        </w:tblCellMar>
        <w:tblLook w:val="04A0" w:firstRow="1" w:lastRow="0" w:firstColumn="1" w:lastColumn="0" w:noHBand="0" w:noVBand="1"/>
      </w:tblPr>
      <w:tblGrid>
        <w:gridCol w:w="3206"/>
        <w:gridCol w:w="3131"/>
        <w:gridCol w:w="2998"/>
      </w:tblGrid>
      <w:tr w:rsidR="00000000">
        <w:trPr>
          <w:trHeight w:val="20"/>
        </w:trPr>
        <w:tc>
          <w:tcPr>
            <w:tcW w:w="171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Объект комплексного благоустройства улично-дорожной сети</w:t>
            </w:r>
          </w:p>
        </w:tc>
        <w:tc>
          <w:tcPr>
            <w:tcW w:w="16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Материал верхнего слоя покрытия проезжей части</w:t>
            </w:r>
          </w:p>
        </w:tc>
        <w:tc>
          <w:tcPr>
            <w:tcW w:w="16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Нормативный документ</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rPr>
                <w:b/>
                <w:bCs/>
              </w:rPr>
              <w:t>Улицы и дороги</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Магистральные улицы общегородского значения:</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с непрерывным движением</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Асфальтобетон:</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типов А и Б, 1 марки</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щебнемастичный;</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литой тип II</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Смеси для шероховатых слоев износа</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с регулируемым движением</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То же</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Магистральные улицы районного значения</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Асфальтобетон типов Б и В, 1 марки</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Местного значения:</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в жилой застройке</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Асфальтобетон типов В, Г и Д</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в производственной и коммунально-складской зонах</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Асфальтобетон типов Б и В</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rPr>
                <w:b/>
                <w:bCs/>
              </w:rPr>
              <w:t>Площади</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Предст</w:t>
            </w:r>
            <w:r>
              <w:t>авительские, приобъектные, общественно-транспортные</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Асфальтобетон типов Б и В</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Пластбетон цветной</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Штучные элементы из искусственного или природного камня</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Транспортных развязок</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Асфальтобетон:</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типов А и Б;</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щебнемастичный</w:t>
            </w:r>
          </w:p>
        </w:tc>
        <w:tc>
          <w:tcPr>
            <w:tcW w:w="1607"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rPr>
                <w:b/>
                <w:bCs/>
              </w:rPr>
              <w:t>Искусственные сооружения</w:t>
            </w:r>
          </w:p>
        </w:tc>
        <w:tc>
          <w:tcPr>
            <w:tcW w:w="16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c>
          <w:tcPr>
            <w:tcW w:w="16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Мосты, эстакады, путепроводы, тоннели</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Асфальтобетон:</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тип Б;</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СН РК «Автомобильные дороги»</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щебнемастичный;</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литой типов I и II</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7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16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Смеси для шероховатых слоев износа</w:t>
            </w:r>
          </w:p>
        </w:tc>
        <w:tc>
          <w:tcPr>
            <w:tcW w:w="1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bl>
    <w:p w:rsidR="00000000" w:rsidRDefault="00F36ADD">
      <w:pPr>
        <w:ind w:firstLine="426"/>
      </w:pPr>
      <w:r>
        <w:rPr>
          <w:b/>
          <w:bCs/>
        </w:rPr>
        <w:t> </w:t>
      </w:r>
    </w:p>
    <w:p w:rsidR="00000000" w:rsidRDefault="00F36ADD">
      <w:pPr>
        <w:jc w:val="center"/>
      </w:pPr>
      <w:r>
        <w:rPr>
          <w:rStyle w:val="s1"/>
        </w:rPr>
        <w:t>Таблица Е.2 - Покрытия пешеходных коммуникаций</w:t>
      </w:r>
    </w:p>
    <w:p w:rsidR="00000000" w:rsidRDefault="00F36ADD">
      <w:pPr>
        <w:ind w:firstLine="426"/>
      </w:pPr>
      <w:r>
        <w:t> </w:t>
      </w:r>
    </w:p>
    <w:tbl>
      <w:tblPr>
        <w:tblW w:w="5000" w:type="pct"/>
        <w:tblCellMar>
          <w:left w:w="0" w:type="dxa"/>
          <w:right w:w="0" w:type="dxa"/>
        </w:tblCellMar>
        <w:tblLook w:val="04A0" w:firstRow="1" w:lastRow="0" w:firstColumn="1" w:lastColumn="0" w:noHBand="0" w:noVBand="1"/>
      </w:tblPr>
      <w:tblGrid>
        <w:gridCol w:w="2582"/>
        <w:gridCol w:w="1685"/>
        <w:gridCol w:w="1725"/>
        <w:gridCol w:w="1685"/>
        <w:gridCol w:w="1658"/>
      </w:tblGrid>
      <w:tr w:rsidR="00000000">
        <w:trPr>
          <w:trHeight w:val="20"/>
        </w:trPr>
        <w:tc>
          <w:tcPr>
            <w:tcW w:w="146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Объект комплексного благоустройства</w:t>
            </w:r>
          </w:p>
        </w:tc>
        <w:tc>
          <w:tcPr>
            <w:tcW w:w="3539"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Материал покрытия: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6ADD"/>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тротуара</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пешеходной зоны</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дорожки на озелененной территории технической зоны</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пандусов</w:t>
            </w:r>
          </w:p>
        </w:tc>
      </w:tr>
      <w:tr w:rsidR="00000000">
        <w:trPr>
          <w:trHeight w:val="20"/>
        </w:trPr>
        <w:tc>
          <w:tcPr>
            <w:tcW w:w="1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Магистральные улицы общегородского и районного значения</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Асфальтобетон типов Г и Д. Штучные элементы из искусственного или природного камня</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Штучные элементы из искусственного или природного камня. Смеси сыпучих материалов, не укрепленные или укрепленные в</w:t>
            </w:r>
            <w:r>
              <w:t>яжущим</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r>
      <w:tr w:rsidR="00000000">
        <w:trPr>
          <w:trHeight w:val="20"/>
        </w:trPr>
        <w:tc>
          <w:tcPr>
            <w:tcW w:w="1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Улицы местного значения</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r>
      <w:tr w:rsidR="00000000">
        <w:trPr>
          <w:trHeight w:val="20"/>
        </w:trPr>
        <w:tc>
          <w:tcPr>
            <w:tcW w:w="1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 жилой застройке</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То же</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Асфальтобетон типов В, Г и Д. Цементобетон.</w:t>
            </w:r>
          </w:p>
        </w:tc>
      </w:tr>
      <w:tr w:rsidR="00000000">
        <w:trPr>
          <w:trHeight w:val="20"/>
        </w:trPr>
        <w:tc>
          <w:tcPr>
            <w:tcW w:w="1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в производственной и коммунально-складской зонах</w:t>
            </w:r>
          </w:p>
        </w:tc>
        <w:tc>
          <w:tcPr>
            <w:tcW w:w="883" w:type="pct"/>
            <w:tcBorders>
              <w:top w:val="nil"/>
              <w:left w:val="nil"/>
              <w:bottom w:val="nil"/>
              <w:right w:val="single" w:sz="8" w:space="0" w:color="auto"/>
            </w:tcBorders>
            <w:tcMar>
              <w:top w:w="0" w:type="dxa"/>
              <w:left w:w="40" w:type="dxa"/>
              <w:bottom w:w="0" w:type="dxa"/>
              <w:right w:w="40" w:type="dxa"/>
            </w:tcMar>
            <w:hideMark/>
          </w:tcPr>
          <w:p w:rsidR="00000000" w:rsidRDefault="00F36ADD">
            <w:r>
              <w:t>Асфальтобетон типов Г и Д.</w:t>
            </w:r>
          </w:p>
          <w:p w:rsidR="00000000" w:rsidRDefault="00F36ADD">
            <w:r>
              <w:t>Цементобетон</w:t>
            </w:r>
          </w:p>
        </w:tc>
        <w:tc>
          <w:tcPr>
            <w:tcW w:w="926"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918"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w:t>
            </w:r>
          </w:p>
        </w:tc>
        <w:tc>
          <w:tcPr>
            <w:tcW w:w="812" w:type="pct"/>
            <w:tcBorders>
              <w:top w:val="nil"/>
              <w:left w:val="nil"/>
              <w:bottom w:val="nil"/>
              <w:right w:val="single" w:sz="8" w:space="0" w:color="auto"/>
            </w:tcBorders>
            <w:tcMar>
              <w:top w:w="0" w:type="dxa"/>
              <w:left w:w="40" w:type="dxa"/>
              <w:bottom w:w="0" w:type="dxa"/>
              <w:right w:w="40" w:type="dxa"/>
            </w:tcMar>
            <w:hideMark/>
          </w:tcPr>
          <w:p w:rsidR="00000000" w:rsidRDefault="00F36ADD">
            <w:r>
              <w:t> </w:t>
            </w:r>
          </w:p>
        </w:tc>
      </w:tr>
      <w:tr w:rsidR="00000000">
        <w:trPr>
          <w:trHeight w:val="20"/>
        </w:trPr>
        <w:tc>
          <w:tcPr>
            <w:tcW w:w="146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Пешеходная улица</w:t>
            </w:r>
          </w:p>
        </w:tc>
        <w:tc>
          <w:tcPr>
            <w:tcW w:w="88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Штучные элементы из искусственного или природного камня. Пластбетон цветной</w:t>
            </w:r>
          </w:p>
        </w:tc>
        <w:tc>
          <w:tcPr>
            <w:tcW w:w="9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Штучные элементы из искусственного или природного камня. Пластбетон цветной</w:t>
            </w:r>
          </w:p>
        </w:tc>
        <w:tc>
          <w:tcPr>
            <w:tcW w:w="9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8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1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Площади представительские, приобъектные, общественно-транспортные,</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Штучные элементы из искусственного или природного камня. Асфальтобетон типов Г и Д. Пластбетон цветной</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Штучные элементы из искусственного или природного камня. Асфальтобетон типов Г</w:t>
            </w:r>
          </w:p>
          <w:p w:rsidR="00000000" w:rsidRDefault="00F36ADD">
            <w:r>
              <w:t>и Д. Пластбетон цветной</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r>
      <w:tr w:rsidR="00000000">
        <w:trPr>
          <w:trHeight w:val="20"/>
        </w:trPr>
        <w:tc>
          <w:tcPr>
            <w:tcW w:w="1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транспортных развязок</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Штучные элементы из иск</w:t>
            </w:r>
            <w:r>
              <w:t>усственного или природного камня. Асфальтобетон типов Г и Д</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r>
      <w:tr w:rsidR="00000000">
        <w:trPr>
          <w:trHeight w:val="20"/>
        </w:trPr>
        <w:tc>
          <w:tcPr>
            <w:tcW w:w="1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Пешеходные переходы наземные</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То же, что и на проезжей части</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r>
      <w:tr w:rsidR="00000000">
        <w:trPr>
          <w:trHeight w:val="20"/>
        </w:trPr>
        <w:tc>
          <w:tcPr>
            <w:tcW w:w="146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 </w:t>
            </w:r>
          </w:p>
        </w:tc>
        <w:tc>
          <w:tcPr>
            <w:tcW w:w="883" w:type="pct"/>
            <w:tcBorders>
              <w:top w:val="nil"/>
              <w:left w:val="nil"/>
              <w:bottom w:val="nil"/>
              <w:right w:val="single" w:sz="8" w:space="0" w:color="auto"/>
            </w:tcBorders>
            <w:tcMar>
              <w:top w:w="0" w:type="dxa"/>
              <w:left w:w="40" w:type="dxa"/>
              <w:bottom w:w="0" w:type="dxa"/>
              <w:right w:w="40" w:type="dxa"/>
            </w:tcMar>
            <w:hideMark/>
          </w:tcPr>
          <w:p w:rsidR="00000000" w:rsidRDefault="00F36ADD">
            <w:r>
              <w:t> </w:t>
            </w:r>
          </w:p>
        </w:tc>
        <w:tc>
          <w:tcPr>
            <w:tcW w:w="926" w:type="pct"/>
            <w:tcBorders>
              <w:top w:val="nil"/>
              <w:left w:val="nil"/>
              <w:bottom w:val="nil"/>
              <w:right w:val="single" w:sz="8" w:space="0" w:color="auto"/>
            </w:tcBorders>
            <w:tcMar>
              <w:top w:w="0" w:type="dxa"/>
              <w:left w:w="40" w:type="dxa"/>
              <w:bottom w:w="0" w:type="dxa"/>
              <w:right w:w="40" w:type="dxa"/>
            </w:tcMar>
            <w:hideMark/>
          </w:tcPr>
          <w:p w:rsidR="00000000" w:rsidRDefault="00F36ADD">
            <w:r>
              <w:t>Штучные элементы из искусственного или природного камня</w:t>
            </w:r>
          </w:p>
        </w:tc>
        <w:tc>
          <w:tcPr>
            <w:tcW w:w="918" w:type="pct"/>
            <w:tcBorders>
              <w:top w:val="nil"/>
              <w:left w:val="nil"/>
              <w:bottom w:val="nil"/>
              <w:right w:val="single" w:sz="8" w:space="0" w:color="auto"/>
            </w:tcBorders>
            <w:tcMar>
              <w:top w:w="0" w:type="dxa"/>
              <w:left w:w="40" w:type="dxa"/>
              <w:bottom w:w="0" w:type="dxa"/>
              <w:right w:w="40" w:type="dxa"/>
            </w:tcMar>
            <w:hideMark/>
          </w:tcPr>
          <w:p w:rsidR="00000000" w:rsidRDefault="00F36ADD">
            <w:r>
              <w:t> </w:t>
            </w:r>
          </w:p>
        </w:tc>
        <w:tc>
          <w:tcPr>
            <w:tcW w:w="812" w:type="pct"/>
            <w:tcBorders>
              <w:top w:val="nil"/>
              <w:left w:val="nil"/>
              <w:bottom w:val="nil"/>
              <w:right w:val="single" w:sz="8" w:space="0" w:color="auto"/>
            </w:tcBorders>
            <w:tcMar>
              <w:top w:w="0" w:type="dxa"/>
              <w:left w:w="40" w:type="dxa"/>
              <w:bottom w:w="0" w:type="dxa"/>
              <w:right w:w="40" w:type="dxa"/>
            </w:tcMar>
            <w:hideMark/>
          </w:tcPr>
          <w:p w:rsidR="00000000" w:rsidRDefault="00F36ADD">
            <w:r>
              <w:t> </w:t>
            </w:r>
          </w:p>
        </w:tc>
      </w:tr>
      <w:tr w:rsidR="00000000">
        <w:trPr>
          <w:trHeight w:val="20"/>
        </w:trPr>
        <w:tc>
          <w:tcPr>
            <w:tcW w:w="146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подземные и надземные</w:t>
            </w:r>
          </w:p>
        </w:tc>
        <w:tc>
          <w:tcPr>
            <w:tcW w:w="88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9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Асфальтобетон: типов</w:t>
            </w:r>
          </w:p>
          <w:p w:rsidR="00000000" w:rsidRDefault="00F36ADD">
            <w:r>
              <w:t>В, Г, Д.</w:t>
            </w:r>
          </w:p>
          <w:p w:rsidR="00000000" w:rsidRDefault="00F36ADD">
            <w:r>
              <w:t>Штучные элементы из искусственного или природного камня</w:t>
            </w:r>
          </w:p>
        </w:tc>
        <w:tc>
          <w:tcPr>
            <w:tcW w:w="9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 </w:t>
            </w:r>
          </w:p>
        </w:tc>
        <w:tc>
          <w:tcPr>
            <w:tcW w:w="8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r>
              <w:t>Асфальтобетон типов В, Г, Д</w:t>
            </w:r>
          </w:p>
        </w:tc>
      </w:tr>
      <w:tr w:rsidR="00000000">
        <w:trPr>
          <w:trHeight w:val="20"/>
        </w:trPr>
        <w:tc>
          <w:tcPr>
            <w:tcW w:w="14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Мосты, эстакады, путепроводы, тоннели</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r>
              <w:t>Штучные элементы из искусственного или природного камня. Асфальтобетон типов Г и Д</w:t>
            </w:r>
          </w:p>
        </w:tc>
        <w:tc>
          <w:tcPr>
            <w:tcW w:w="9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9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w:t>
            </w:r>
          </w:p>
        </w:tc>
        <w:tc>
          <w:tcPr>
            <w:tcW w:w="8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То же</w:t>
            </w:r>
          </w:p>
        </w:tc>
      </w:tr>
    </w:tbl>
    <w:p w:rsidR="00000000" w:rsidRDefault="00F36ADD">
      <w:pPr>
        <w:ind w:firstLine="426"/>
      </w:pPr>
      <w:r>
        <w:rPr>
          <w:b/>
          <w:bCs/>
        </w:rPr>
        <w:t> </w:t>
      </w:r>
    </w:p>
    <w:p w:rsidR="00000000" w:rsidRDefault="00F36ADD">
      <w:pPr>
        <w:ind w:firstLine="426"/>
        <w:jc w:val="right"/>
      </w:pPr>
      <w:r>
        <w:rPr>
          <w:b/>
          <w:bCs/>
        </w:rPr>
        <w:t>ПРИЛОЖЕНИЕ Ж</w:t>
      </w:r>
    </w:p>
    <w:p w:rsidR="00000000" w:rsidRDefault="00F36ADD">
      <w:pPr>
        <w:ind w:firstLine="426"/>
        <w:jc w:val="right"/>
      </w:pPr>
      <w:r>
        <w:rPr>
          <w:i/>
          <w:iCs/>
        </w:rPr>
        <w:t>(информационное)</w:t>
      </w:r>
    </w:p>
    <w:p w:rsidR="00000000" w:rsidRDefault="00F36ADD">
      <w:pPr>
        <w:ind w:firstLine="426"/>
        <w:jc w:val="right"/>
      </w:pPr>
      <w:r>
        <w:rPr>
          <w:b/>
          <w:bCs/>
        </w:rPr>
        <w:t> </w:t>
      </w:r>
    </w:p>
    <w:p w:rsidR="00000000" w:rsidRDefault="00F36ADD">
      <w:pPr>
        <w:ind w:firstLine="426"/>
        <w:jc w:val="right"/>
      </w:pPr>
      <w:r>
        <w:rPr>
          <w:b/>
          <w:bCs/>
        </w:rPr>
        <w:t> </w:t>
      </w:r>
    </w:p>
    <w:p w:rsidR="00000000" w:rsidRDefault="00F36ADD">
      <w:pPr>
        <w:jc w:val="center"/>
      </w:pPr>
      <w:r>
        <w:rPr>
          <w:rStyle w:val="s1"/>
        </w:rPr>
        <w:t>Расчет ширины пешеходных коммуникаций</w:t>
      </w:r>
    </w:p>
    <w:p w:rsidR="00000000" w:rsidRDefault="00F36ADD">
      <w:pPr>
        <w:ind w:firstLine="426"/>
      </w:pPr>
      <w:r>
        <w:t> </w:t>
      </w:r>
    </w:p>
    <w:p w:rsidR="00000000" w:rsidRDefault="00F36ADD">
      <w:pPr>
        <w:ind w:firstLine="426"/>
      </w:pPr>
      <w:r>
        <w:t>Ж.1. Расчет ширины тротуаров и других пешеходных коммуникаций следует производить по формуле:</w:t>
      </w:r>
    </w:p>
    <w:p w:rsidR="00000000" w:rsidRDefault="00F36ADD">
      <w:pPr>
        <w:ind w:firstLine="426"/>
      </w:pPr>
      <w:r>
        <w:rPr>
          <w:i/>
          <w:iCs/>
        </w:rPr>
        <w:t> </w:t>
      </w:r>
    </w:p>
    <w:p w:rsidR="00000000" w:rsidRDefault="00F36ADD">
      <w:pPr>
        <w:ind w:firstLine="426"/>
        <w:jc w:val="center"/>
      </w:pPr>
      <w:r>
        <w:rPr>
          <w:i/>
          <w:iCs/>
        </w:rPr>
        <w:t>В = b</w:t>
      </w:r>
      <w:r>
        <w:rPr>
          <w:i/>
          <w:iCs/>
          <w:vertAlign w:val="subscript"/>
        </w:rPr>
        <w:t>1</w:t>
      </w:r>
      <w:r>
        <w:rPr>
          <w:i/>
          <w:iCs/>
        </w:rPr>
        <w:t xml:space="preserve"> × N × k/p</w:t>
      </w:r>
      <w:r>
        <w:t>,</w:t>
      </w:r>
    </w:p>
    <w:p w:rsidR="00000000" w:rsidRDefault="00F36ADD">
      <w:pPr>
        <w:ind w:firstLine="426"/>
      </w:pPr>
      <w:r>
        <w:rPr>
          <w:i/>
          <w:iCs/>
        </w:rPr>
        <w:t> </w:t>
      </w:r>
    </w:p>
    <w:p w:rsidR="00000000" w:rsidRDefault="00F36ADD">
      <w:pPr>
        <w:ind w:firstLine="426"/>
      </w:pPr>
      <w:r>
        <w:t xml:space="preserve">где: </w:t>
      </w:r>
    </w:p>
    <w:p w:rsidR="00000000" w:rsidRDefault="00F36ADD">
      <w:pPr>
        <w:ind w:firstLine="426"/>
      </w:pPr>
      <w:r>
        <w:rPr>
          <w:i/>
          <w:iCs/>
        </w:rPr>
        <w:t xml:space="preserve">В - </w:t>
      </w:r>
      <w:r>
        <w:t>расчетная ширина пешеходной коммуникации, м;</w:t>
      </w:r>
    </w:p>
    <w:p w:rsidR="00000000" w:rsidRDefault="00F36ADD">
      <w:pPr>
        <w:ind w:firstLine="426"/>
      </w:pPr>
      <w:r>
        <w:rPr>
          <w:i/>
          <w:iCs/>
        </w:rPr>
        <w:t>b</w:t>
      </w:r>
      <w:r>
        <w:rPr>
          <w:i/>
          <w:iCs/>
          <w:vertAlign w:val="subscript"/>
        </w:rPr>
        <w:t>1</w:t>
      </w:r>
      <w:r>
        <w:t xml:space="preserve"> - стандартная ширина одной полосы пешеходн</w:t>
      </w:r>
      <w:r>
        <w:t>ого движения, равная 0,75 м;</w:t>
      </w:r>
    </w:p>
    <w:p w:rsidR="00000000" w:rsidRDefault="00F36ADD">
      <w:pPr>
        <w:ind w:firstLine="426"/>
      </w:pPr>
      <w:r>
        <w:rPr>
          <w:i/>
          <w:iCs/>
        </w:rPr>
        <w:t xml:space="preserve">N - </w:t>
      </w:r>
      <w:r>
        <w:t>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000000" w:rsidRDefault="00F36ADD">
      <w:pPr>
        <w:ind w:firstLine="426"/>
      </w:pPr>
      <w:r>
        <w:rPr>
          <w:i/>
          <w:iCs/>
        </w:rPr>
        <w:t>k</w:t>
      </w:r>
      <w:r>
        <w:t xml:space="preserve"> - коэффициент перс</w:t>
      </w:r>
      <w:r>
        <w:t xml:space="preserve">пективного изменения интенсивности пешеходного движения (устанавливается на основе анализа градостроительного развития территории); </w:t>
      </w:r>
    </w:p>
    <w:p w:rsidR="00000000" w:rsidRDefault="00F36ADD">
      <w:pPr>
        <w:ind w:firstLine="426"/>
      </w:pPr>
      <w:r>
        <w:rPr>
          <w:i/>
          <w:iCs/>
        </w:rPr>
        <w:t xml:space="preserve">р - </w:t>
      </w:r>
      <w:r>
        <w:t xml:space="preserve">нормативная пропускная способность одно Таблице Ж.1). </w:t>
      </w:r>
      <w:r>
        <w:rPr>
          <w:b/>
          <w:bCs/>
          <w:i/>
          <w:iCs/>
        </w:rPr>
        <w:t>(текст соответствует оригиналу)</w:t>
      </w:r>
    </w:p>
    <w:p w:rsidR="00000000" w:rsidRDefault="00F36ADD">
      <w:pPr>
        <w:ind w:firstLine="426"/>
      </w:pPr>
      <w:r>
        <w:rPr>
          <w:b/>
          <w:bCs/>
        </w:rPr>
        <w:t> </w:t>
      </w:r>
    </w:p>
    <w:p w:rsidR="00000000" w:rsidRDefault="00F36ADD">
      <w:pPr>
        <w:jc w:val="center"/>
      </w:pPr>
      <w:r>
        <w:rPr>
          <w:rStyle w:val="s1"/>
        </w:rPr>
        <w:t>Таблица Ж.1 - Пропускная способ</w:t>
      </w:r>
      <w:r>
        <w:rPr>
          <w:rStyle w:val="s1"/>
        </w:rPr>
        <w:t>ность пешеходных коммуникаций</w:t>
      </w:r>
    </w:p>
    <w:p w:rsidR="00000000" w:rsidRDefault="00F36ADD">
      <w:pPr>
        <w:ind w:firstLine="426"/>
      </w:pPr>
      <w:r>
        <w:t> </w:t>
      </w:r>
    </w:p>
    <w:tbl>
      <w:tblPr>
        <w:tblW w:w="5000" w:type="pct"/>
        <w:tblCellMar>
          <w:left w:w="0" w:type="dxa"/>
          <w:right w:w="0" w:type="dxa"/>
        </w:tblCellMar>
        <w:tblLook w:val="04A0" w:firstRow="1" w:lastRow="0" w:firstColumn="1" w:lastColumn="0" w:noHBand="0" w:noVBand="1"/>
      </w:tblPr>
      <w:tblGrid>
        <w:gridCol w:w="6176"/>
        <w:gridCol w:w="3159"/>
      </w:tblGrid>
      <w:tr w:rsidR="00000000">
        <w:trPr>
          <w:trHeight w:val="20"/>
        </w:trPr>
        <w:tc>
          <w:tcPr>
            <w:tcW w:w="330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pPr>
              <w:jc w:val="center"/>
            </w:pPr>
            <w:r>
              <w:t>Элементы пешеходных коммуникаций</w:t>
            </w:r>
          </w:p>
        </w:tc>
        <w:tc>
          <w:tcPr>
            <w:tcW w:w="16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Пропускная способность одной полосы движения (чел/час)</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lastRenderedPageBreak/>
              <w:t>Тротуары, расположенные вдоль красной линии улиц с развитой торговой сетью</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700</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Тротуары, расположенные вдоль красной линии улиц с незначительной торговой сетью</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800</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Тротуары в пределах зеленых насаждений улиц и дорог (бульвары)</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800-1000</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Пешеходные дороги (прогулочные)</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600-700</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Пешеходные переходы через проезжую часть (наземные)</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1200</w:t>
            </w:r>
            <w:r>
              <w:t>-1500</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Внеуличные пешеходные переходы (пешеходные туннели и пешеходные мосты), расположенные:</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 </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у объектов трудового тяготения</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1200</w:t>
            </w:r>
            <w:r>
              <w:rPr>
                <w:vertAlign w:val="superscript"/>
              </w:rPr>
              <w:t>*</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в зонах общественных центров периферийных и срединных частей города, у объектов торгового и культурно-зрелищного назначения центральной части города</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1000</w:t>
            </w:r>
            <w:r>
              <w:rPr>
                <w:vertAlign w:val="superscript"/>
              </w:rPr>
              <w:t>*</w:t>
            </w:r>
          </w:p>
        </w:tc>
      </w:tr>
      <w:tr w:rsidR="00000000">
        <w:trPr>
          <w:trHeight w:val="20"/>
        </w:trPr>
        <w:tc>
          <w:tcPr>
            <w:tcW w:w="330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36ADD">
            <w:r>
              <w:t>у станций пригородных поездов, у вокзалов</w:t>
            </w:r>
          </w:p>
        </w:tc>
        <w:tc>
          <w:tcPr>
            <w:tcW w:w="1692" w:type="pct"/>
            <w:tcBorders>
              <w:top w:val="nil"/>
              <w:left w:val="nil"/>
              <w:bottom w:val="nil"/>
              <w:right w:val="single" w:sz="8" w:space="0" w:color="auto"/>
            </w:tcBorders>
            <w:tcMar>
              <w:top w:w="0" w:type="dxa"/>
              <w:left w:w="40" w:type="dxa"/>
              <w:bottom w:w="0" w:type="dxa"/>
              <w:right w:w="40" w:type="dxa"/>
            </w:tcMar>
            <w:hideMark/>
          </w:tcPr>
          <w:p w:rsidR="00000000" w:rsidRDefault="00F36ADD">
            <w:pPr>
              <w:jc w:val="center"/>
            </w:pPr>
            <w:r>
              <w:t>800</w:t>
            </w:r>
            <w:r>
              <w:rPr>
                <w:vertAlign w:val="superscript"/>
              </w:rPr>
              <w:t>*</w:t>
            </w:r>
          </w:p>
        </w:tc>
      </w:tr>
      <w:tr w:rsidR="00000000">
        <w:trPr>
          <w:trHeight w:val="20"/>
        </w:trPr>
        <w:tc>
          <w:tcPr>
            <w:tcW w:w="330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Лестница</w:t>
            </w:r>
          </w:p>
        </w:tc>
        <w:tc>
          <w:tcPr>
            <w:tcW w:w="16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500-600</w:t>
            </w:r>
          </w:p>
        </w:tc>
      </w:tr>
      <w:tr w:rsidR="00000000">
        <w:trPr>
          <w:trHeight w:val="20"/>
        </w:trPr>
        <w:tc>
          <w:tcPr>
            <w:tcW w:w="33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Пандус (уклон 1:10)</w:t>
            </w:r>
          </w:p>
        </w:tc>
        <w:tc>
          <w:tcPr>
            <w:tcW w:w="16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6ADD">
            <w:pPr>
              <w:jc w:val="center"/>
            </w:pPr>
            <w:r>
              <w:t>700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6ADD">
            <w:r>
              <w:t>ПРИМЕЧАНИ</w:t>
            </w:r>
            <w:r>
              <w:t>Е 1</w:t>
            </w:r>
            <w:r>
              <w:rPr>
                <w:vertAlign w:val="subscript"/>
              </w:rPr>
              <w:t>*</w:t>
            </w:r>
            <w:r>
              <w:t xml:space="preserve">. Предельная пропускная способность, принимаемая при определении максимальных нагрузок, - 1500 чел./час. </w:t>
            </w:r>
          </w:p>
          <w:p w:rsidR="00000000" w:rsidRDefault="00F36ADD">
            <w:r>
              <w:t xml:space="preserve">ПРИМЕЧАНИЕ 2. Ширина одной полосы пешеходного движения - 0,75 м. </w:t>
            </w:r>
          </w:p>
          <w:p w:rsidR="00000000" w:rsidRDefault="00F36ADD">
            <w:r>
              <w:t>ПРИМЕЧАНИЕ 3. Ширину тротуаров следует принимать по расчету, но не менее ширины,</w:t>
            </w:r>
            <w:r>
              <w:t xml:space="preserve"> указанной для соответствующей категории улиц.</w:t>
            </w:r>
          </w:p>
        </w:tc>
      </w:tr>
    </w:tbl>
    <w:p w:rsidR="00000000" w:rsidRDefault="00F36ADD">
      <w:pPr>
        <w:ind w:firstLine="426"/>
      </w:pPr>
      <w:r>
        <w:rPr>
          <w:b/>
          <w:bCs/>
        </w:rPr>
        <w:t> </w:t>
      </w:r>
    </w:p>
    <w:p w:rsidR="00000000" w:rsidRDefault="00F36ADD">
      <w:pPr>
        <w:ind w:firstLine="426"/>
        <w:jc w:val="both"/>
      </w:pPr>
      <w:r>
        <w:rPr>
          <w:b/>
          <w:bCs/>
        </w:rPr>
        <w:t xml:space="preserve">Ключевые слова: </w:t>
      </w:r>
      <w:r>
        <w:t>благоустройство, рекомендуемые параметры, объекты комплексного благоустройства, элементы комплексного благоустройства, общественное пространство, озеленение, эспланада, рекреационная зона, пешеходная зона, площадки, пожарная безопасность, санитарно-эпидеми</w:t>
      </w:r>
      <w:r>
        <w:t>ологические требования, доступность маломобильных групп населения, охрана окружающей среды.</w:t>
      </w:r>
    </w:p>
    <w:p w:rsidR="00000000" w:rsidRDefault="00F36ADD">
      <w:pPr>
        <w:ind w:firstLine="426"/>
      </w:pPr>
      <w:r>
        <w:t> </w:t>
      </w:r>
    </w:p>
    <w:sectPr w:rsidR="00000000">
      <w:headerReference w:type="even" r:id="rId171"/>
      <w:headerReference w:type="default" r:id="rId172"/>
      <w:footerReference w:type="even" r:id="rId173"/>
      <w:footerReference w:type="default" r:id="rId174"/>
      <w:headerReference w:type="first" r:id="rId175"/>
      <w:footerReference w:type="first" r:id="rId1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ADD" w:rsidRDefault="00F36ADD" w:rsidP="00F36ADD">
      <w:r>
        <w:separator/>
      </w:r>
    </w:p>
  </w:endnote>
  <w:endnote w:type="continuationSeparator" w:id="0">
    <w:p w:rsidR="00F36ADD" w:rsidRDefault="00F36ADD" w:rsidP="00F3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DD" w:rsidRDefault="00F36ADD">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DD" w:rsidRDefault="00F36ADD">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DD" w:rsidRDefault="00F36AD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ADD" w:rsidRDefault="00F36ADD" w:rsidP="00F36ADD">
      <w:r>
        <w:separator/>
      </w:r>
    </w:p>
  </w:footnote>
  <w:footnote w:type="continuationSeparator" w:id="0">
    <w:p w:rsidR="00F36ADD" w:rsidRDefault="00F36ADD" w:rsidP="00F36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DD" w:rsidRDefault="00F36AD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DD" w:rsidRDefault="00F36ADD" w:rsidP="00F36ADD">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36ADD" w:rsidRDefault="00F36ADD" w:rsidP="00F36ADD">
    <w:pPr>
      <w:pStyle w:val="a6"/>
      <w:spacing w:after="100"/>
      <w:jc w:val="right"/>
      <w:rPr>
        <w:rFonts w:ascii="Arial" w:hAnsi="Arial" w:cs="Arial"/>
        <w:color w:val="808080"/>
        <w:sz w:val="20"/>
      </w:rPr>
    </w:pPr>
    <w:r>
      <w:rPr>
        <w:rFonts w:ascii="Arial" w:hAnsi="Arial" w:cs="Arial"/>
        <w:color w:val="808080"/>
        <w:sz w:val="20"/>
      </w:rPr>
      <w:t>Документ: СП РК 3.01-105-2013 «Благоустройство территорий населенных пунктов» (с изменениями и дополнениями по состоянию на 10.01.2020 г.)</w:t>
    </w:r>
  </w:p>
  <w:p w:rsidR="00F36ADD" w:rsidRPr="00F36ADD" w:rsidRDefault="00F36ADD" w:rsidP="00F36ADD">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DD" w:rsidRDefault="00F36AD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F36ADD"/>
    <w:rsid w:val="00F36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00ACDC-A201-45E1-804F-E84346BB2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4">
    <w:name w:val="Hyperlink"/>
    <w:basedOn w:val="a0"/>
    <w:uiPriority w:val="99"/>
    <w:semiHidden/>
    <w:unhideWhenUsed/>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F36ADD"/>
    <w:pPr>
      <w:tabs>
        <w:tab w:val="center" w:pos="4677"/>
        <w:tab w:val="right" w:pos="9355"/>
      </w:tabs>
    </w:pPr>
  </w:style>
  <w:style w:type="character" w:customStyle="1" w:styleId="a7">
    <w:name w:val="Верхний колонтитул Знак"/>
    <w:basedOn w:val="a0"/>
    <w:link w:val="a6"/>
    <w:uiPriority w:val="99"/>
    <w:rsid w:val="00F36ADD"/>
    <w:rPr>
      <w:rFonts w:eastAsiaTheme="minorEastAsia"/>
      <w:color w:val="000000"/>
      <w:sz w:val="24"/>
      <w:szCs w:val="24"/>
    </w:rPr>
  </w:style>
  <w:style w:type="paragraph" w:styleId="a8">
    <w:name w:val="footer"/>
    <w:basedOn w:val="a"/>
    <w:link w:val="a9"/>
    <w:uiPriority w:val="99"/>
    <w:unhideWhenUsed/>
    <w:rsid w:val="00F36ADD"/>
    <w:pPr>
      <w:tabs>
        <w:tab w:val="center" w:pos="4677"/>
        <w:tab w:val="right" w:pos="9355"/>
      </w:tabs>
    </w:pPr>
  </w:style>
  <w:style w:type="character" w:customStyle="1" w:styleId="a9">
    <w:name w:val="Нижний колонтитул Знак"/>
    <w:basedOn w:val="a0"/>
    <w:link w:val="a8"/>
    <w:uiPriority w:val="99"/>
    <w:rsid w:val="00F36ADD"/>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5427791" TargetMode="External"/><Relationship Id="rId117" Type="http://schemas.openxmlformats.org/officeDocument/2006/relationships/hyperlink" Target="http://online.zakon.kz/Document/?doc_id=31910631" TargetMode="External"/><Relationship Id="rId21" Type="http://schemas.openxmlformats.org/officeDocument/2006/relationships/hyperlink" Target="http://online.zakon.kz/Document/?doc_id=35427791" TargetMode="External"/><Relationship Id="rId42" Type="http://schemas.openxmlformats.org/officeDocument/2006/relationships/hyperlink" Target="http://online.zakon.kz/Document/?doc_id=35427791" TargetMode="External"/><Relationship Id="rId47" Type="http://schemas.openxmlformats.org/officeDocument/2006/relationships/hyperlink" Target="http://online.zakon.kz/Document/?doc_id=35427791" TargetMode="External"/><Relationship Id="rId63" Type="http://schemas.openxmlformats.org/officeDocument/2006/relationships/hyperlink" Target="http://online.zakon.kz/Document/?doc_id=38588660" TargetMode="External"/><Relationship Id="rId68" Type="http://schemas.openxmlformats.org/officeDocument/2006/relationships/hyperlink" Target="http://online.zakon.kz/Document/?doc_id=39387280" TargetMode="External"/><Relationship Id="rId84" Type="http://schemas.openxmlformats.org/officeDocument/2006/relationships/hyperlink" Target="http://online.zakon.kz/Document/?doc_id=1047208" TargetMode="External"/><Relationship Id="rId89" Type="http://schemas.openxmlformats.org/officeDocument/2006/relationships/hyperlink" Target="http://online.zakon.kz/Document/?doc_id=35427791" TargetMode="External"/><Relationship Id="rId112" Type="http://schemas.openxmlformats.org/officeDocument/2006/relationships/hyperlink" Target="http://online.zakon.kz/Document/?doc_id=31910631" TargetMode="External"/><Relationship Id="rId133" Type="http://schemas.openxmlformats.org/officeDocument/2006/relationships/hyperlink" Target="http://online.zakon.kz/Document/?doc_id=35427791" TargetMode="External"/><Relationship Id="rId138" Type="http://schemas.openxmlformats.org/officeDocument/2006/relationships/hyperlink" Target="http://online.zakon.kz/Document/?doc_id=30001567" TargetMode="External"/><Relationship Id="rId154" Type="http://schemas.openxmlformats.org/officeDocument/2006/relationships/hyperlink" Target="http://online.zakon.kz/Document/?doc_id=1022392" TargetMode="External"/><Relationship Id="rId159" Type="http://schemas.openxmlformats.org/officeDocument/2006/relationships/hyperlink" Target="http://online.zakon.kz/Document/?doc_id=30002442" TargetMode="External"/><Relationship Id="rId175" Type="http://schemas.openxmlformats.org/officeDocument/2006/relationships/header" Target="header3.xml"/><Relationship Id="rId170" Type="http://schemas.openxmlformats.org/officeDocument/2006/relationships/hyperlink" Target="http://online.zakon.kz/Document/?doc_id=35427791" TargetMode="External"/><Relationship Id="rId16" Type="http://schemas.openxmlformats.org/officeDocument/2006/relationships/hyperlink" Target="http://online.zakon.kz/Document/?doc_id=35427791" TargetMode="External"/><Relationship Id="rId107" Type="http://schemas.openxmlformats.org/officeDocument/2006/relationships/hyperlink" Target="http://online.zakon.kz/Document/?doc_id=35427791" TargetMode="External"/><Relationship Id="rId11" Type="http://schemas.openxmlformats.org/officeDocument/2006/relationships/hyperlink" Target="http://online.zakon.kz/Document/?doc_id=35427791" TargetMode="External"/><Relationship Id="rId32" Type="http://schemas.openxmlformats.org/officeDocument/2006/relationships/hyperlink" Target="http://online.zakon.kz/Document/?doc_id=35427791" TargetMode="External"/><Relationship Id="rId37" Type="http://schemas.openxmlformats.org/officeDocument/2006/relationships/hyperlink" Target="http://online.zakon.kz/Document/?doc_id=35427791" TargetMode="External"/><Relationship Id="rId53" Type="http://schemas.openxmlformats.org/officeDocument/2006/relationships/hyperlink" Target="http://online.zakon.kz/Document/?doc_id=35427791" TargetMode="External"/><Relationship Id="rId58" Type="http://schemas.openxmlformats.org/officeDocument/2006/relationships/hyperlink" Target="http://online.zakon.kz/Document/?doc_id=36300368" TargetMode="External"/><Relationship Id="rId74" Type="http://schemas.openxmlformats.org/officeDocument/2006/relationships/hyperlink" Target="http://online.zakon.kz/Document/?doc_id=39725338" TargetMode="External"/><Relationship Id="rId79" Type="http://schemas.openxmlformats.org/officeDocument/2006/relationships/hyperlink" Target="http://online.zakon.kz/Document/?doc_id=30400336" TargetMode="External"/><Relationship Id="rId102" Type="http://schemas.openxmlformats.org/officeDocument/2006/relationships/hyperlink" Target="http://online.zakon.kz/Document/?doc_id=30040232" TargetMode="External"/><Relationship Id="rId123" Type="http://schemas.openxmlformats.org/officeDocument/2006/relationships/hyperlink" Target="http://online.zakon.kz/Document/?doc_id=31967233" TargetMode="External"/><Relationship Id="rId128" Type="http://schemas.openxmlformats.org/officeDocument/2006/relationships/hyperlink" Target="http://online.zakon.kz/Document/?doc_id=35427791" TargetMode="External"/><Relationship Id="rId144" Type="http://schemas.openxmlformats.org/officeDocument/2006/relationships/hyperlink" Target="http://online.zakon.kz/Document/?doc_id=39387280" TargetMode="External"/><Relationship Id="rId149" Type="http://schemas.openxmlformats.org/officeDocument/2006/relationships/hyperlink" Target="http://online.zakon.kz/Document/?doc_id=36300368" TargetMode="External"/><Relationship Id="rId5" Type="http://schemas.openxmlformats.org/officeDocument/2006/relationships/endnotes" Target="endnotes.xml"/><Relationship Id="rId90" Type="http://schemas.openxmlformats.org/officeDocument/2006/relationships/hyperlink" Target="http://online.zakon.kz/Document/?doc_id=35427791" TargetMode="External"/><Relationship Id="rId95" Type="http://schemas.openxmlformats.org/officeDocument/2006/relationships/hyperlink" Target="http://online.zakon.kz/Document/?doc_id=35427791" TargetMode="External"/><Relationship Id="rId160" Type="http://schemas.openxmlformats.org/officeDocument/2006/relationships/hyperlink" Target="http://online.zakon.kz/Document/?doc_id=37603014" TargetMode="External"/><Relationship Id="rId165" Type="http://schemas.openxmlformats.org/officeDocument/2006/relationships/hyperlink" Target="http://online.zakon.kz/Document/?doc_id=35427791" TargetMode="External"/><Relationship Id="rId22" Type="http://schemas.openxmlformats.org/officeDocument/2006/relationships/hyperlink" Target="http://online.zakon.kz/Document/?doc_id=35427791" TargetMode="External"/><Relationship Id="rId27" Type="http://schemas.openxmlformats.org/officeDocument/2006/relationships/hyperlink" Target="http://online.zakon.kz/Document/?doc_id=35427791" TargetMode="External"/><Relationship Id="rId43" Type="http://schemas.openxmlformats.org/officeDocument/2006/relationships/hyperlink" Target="http://online.zakon.kz/Document/?doc_id=35427791" TargetMode="External"/><Relationship Id="rId48" Type="http://schemas.openxmlformats.org/officeDocument/2006/relationships/hyperlink" Target="http://online.zakon.kz/Document/?doc_id=35427791" TargetMode="External"/><Relationship Id="rId64" Type="http://schemas.openxmlformats.org/officeDocument/2006/relationships/hyperlink" Target="http://online.zakon.kz/Document/?doc_id=39214714" TargetMode="External"/><Relationship Id="rId69" Type="http://schemas.openxmlformats.org/officeDocument/2006/relationships/hyperlink" Target="http://online.zakon.kz/Document/?doc_id=30001567" TargetMode="External"/><Relationship Id="rId113" Type="http://schemas.openxmlformats.org/officeDocument/2006/relationships/hyperlink" Target="http://online.zakon.kz/Document/?doc_id=35427791" TargetMode="External"/><Relationship Id="rId118" Type="http://schemas.openxmlformats.org/officeDocument/2006/relationships/hyperlink" Target="http://online.zakon.kz/Document/?doc_id=35427791" TargetMode="External"/><Relationship Id="rId134" Type="http://schemas.openxmlformats.org/officeDocument/2006/relationships/hyperlink" Target="http://online.zakon.kz/Document/?doc_id=35427791" TargetMode="External"/><Relationship Id="rId139" Type="http://schemas.openxmlformats.org/officeDocument/2006/relationships/hyperlink" Target="http://online.zakon.kz/Document/?doc_id=35427791" TargetMode="External"/><Relationship Id="rId80" Type="http://schemas.openxmlformats.org/officeDocument/2006/relationships/hyperlink" Target="http://online.zakon.kz/Document/?doc_id=36300368" TargetMode="External"/><Relationship Id="rId85" Type="http://schemas.openxmlformats.org/officeDocument/2006/relationships/hyperlink" Target="http://online.zakon.kz/Document/?doc_id=1047208" TargetMode="External"/><Relationship Id="rId150" Type="http://schemas.openxmlformats.org/officeDocument/2006/relationships/hyperlink" Target="http://online.zakon.kz/Document/?doc_id=37803912" TargetMode="External"/><Relationship Id="rId155" Type="http://schemas.openxmlformats.org/officeDocument/2006/relationships/hyperlink" Target="http://online.zakon.kz/Document/?doc_id=1022496" TargetMode="External"/><Relationship Id="rId171" Type="http://schemas.openxmlformats.org/officeDocument/2006/relationships/header" Target="header1.xml"/><Relationship Id="rId176" Type="http://schemas.openxmlformats.org/officeDocument/2006/relationships/footer" Target="footer3.xml"/><Relationship Id="rId12" Type="http://schemas.openxmlformats.org/officeDocument/2006/relationships/hyperlink" Target="http://online.zakon.kz/Document/?doc_id=35427791" TargetMode="External"/><Relationship Id="rId17" Type="http://schemas.openxmlformats.org/officeDocument/2006/relationships/hyperlink" Target="http://online.zakon.kz/Document/?doc_id=35427791" TargetMode="External"/><Relationship Id="rId33" Type="http://schemas.openxmlformats.org/officeDocument/2006/relationships/hyperlink" Target="http://online.zakon.kz/Document/?doc_id=35427791" TargetMode="External"/><Relationship Id="rId38" Type="http://schemas.openxmlformats.org/officeDocument/2006/relationships/hyperlink" Target="http://online.zakon.kz/Document/?doc_id=35427791" TargetMode="External"/><Relationship Id="rId59" Type="http://schemas.openxmlformats.org/officeDocument/2006/relationships/hyperlink" Target="http://online.zakon.kz/Document/?doc_id=37803912" TargetMode="External"/><Relationship Id="rId103" Type="http://schemas.openxmlformats.org/officeDocument/2006/relationships/hyperlink" Target="http://online.zakon.kz/Document/?doc_id=1022496" TargetMode="External"/><Relationship Id="rId108" Type="http://schemas.openxmlformats.org/officeDocument/2006/relationships/hyperlink" Target="http://online.zakon.kz/Document/?doc_id=30011109" TargetMode="External"/><Relationship Id="rId124" Type="http://schemas.openxmlformats.org/officeDocument/2006/relationships/hyperlink" Target="http://online.zakon.kz/Document/?doc_id=31910631" TargetMode="External"/><Relationship Id="rId129" Type="http://schemas.openxmlformats.org/officeDocument/2006/relationships/hyperlink" Target="http://online.zakon.kz/Document/?doc_id=35427791" TargetMode="External"/><Relationship Id="rId54" Type="http://schemas.openxmlformats.org/officeDocument/2006/relationships/hyperlink" Target="http://online.zakon.kz/Document/?doc_id=35427791" TargetMode="External"/><Relationship Id="rId70" Type="http://schemas.openxmlformats.org/officeDocument/2006/relationships/hyperlink" Target="http://online.zakon.kz/Document/?doc_id=31967233" TargetMode="External"/><Relationship Id="rId75" Type="http://schemas.openxmlformats.org/officeDocument/2006/relationships/hyperlink" Target="http://online.zakon.kz/Document/?doc_id=35550774" TargetMode="External"/><Relationship Id="rId91" Type="http://schemas.openxmlformats.org/officeDocument/2006/relationships/hyperlink" Target="http://online.zakon.kz/Document/?doc_id=35427791" TargetMode="External"/><Relationship Id="rId96" Type="http://schemas.openxmlformats.org/officeDocument/2006/relationships/hyperlink" Target="http://online.zakon.kz/Document/?doc_id=35427791" TargetMode="External"/><Relationship Id="rId140" Type="http://schemas.openxmlformats.org/officeDocument/2006/relationships/hyperlink" Target="http://online.zakon.kz/Document/?doc_id=36300368" TargetMode="External"/><Relationship Id="rId145" Type="http://schemas.openxmlformats.org/officeDocument/2006/relationships/hyperlink" Target="http://online.zakon.kz/Document/?doc_id=1022496" TargetMode="External"/><Relationship Id="rId161" Type="http://schemas.openxmlformats.org/officeDocument/2006/relationships/hyperlink" Target="http://online.zakon.kz/Document/?doc_id=35706739" TargetMode="External"/><Relationship Id="rId166" Type="http://schemas.openxmlformats.org/officeDocument/2006/relationships/hyperlink" Target="http://online.zakon.kz/Document/?doc_id=35427791" TargetMode="External"/><Relationship Id="rId1" Type="http://schemas.openxmlformats.org/officeDocument/2006/relationships/styles" Target="styles.xml"/><Relationship Id="rId6" Type="http://schemas.openxmlformats.org/officeDocument/2006/relationships/hyperlink" Target="http://online.zakon.kz/Document/?doc_id=33460929" TargetMode="External"/><Relationship Id="rId23" Type="http://schemas.openxmlformats.org/officeDocument/2006/relationships/hyperlink" Target="http://online.zakon.kz/Document/?doc_id=35427791" TargetMode="External"/><Relationship Id="rId28" Type="http://schemas.openxmlformats.org/officeDocument/2006/relationships/hyperlink" Target="http://online.zakon.kz/Document/?doc_id=35427791" TargetMode="External"/><Relationship Id="rId49" Type="http://schemas.openxmlformats.org/officeDocument/2006/relationships/hyperlink" Target="http://online.zakon.kz/Document/?doc_id=35427791" TargetMode="External"/><Relationship Id="rId114" Type="http://schemas.openxmlformats.org/officeDocument/2006/relationships/hyperlink" Target="http://online.zakon.kz/Document/?doc_id=39988405" TargetMode="External"/><Relationship Id="rId119" Type="http://schemas.openxmlformats.org/officeDocument/2006/relationships/hyperlink" Target="http://online.zakon.kz/Document/?doc_id=31910631" TargetMode="External"/><Relationship Id="rId10" Type="http://schemas.openxmlformats.org/officeDocument/2006/relationships/hyperlink" Target="http://online.zakon.kz/Document/?doc_id=35427791" TargetMode="External"/><Relationship Id="rId31" Type="http://schemas.openxmlformats.org/officeDocument/2006/relationships/hyperlink" Target="http://online.zakon.kz/Document/?doc_id=35427791" TargetMode="External"/><Relationship Id="rId44" Type="http://schemas.openxmlformats.org/officeDocument/2006/relationships/hyperlink" Target="http://online.zakon.kz/Document/?doc_id=35427791" TargetMode="External"/><Relationship Id="rId52" Type="http://schemas.openxmlformats.org/officeDocument/2006/relationships/hyperlink" Target="http://online.zakon.kz/Document/?doc_id=35427791" TargetMode="External"/><Relationship Id="rId60" Type="http://schemas.openxmlformats.org/officeDocument/2006/relationships/hyperlink" Target="http://online.zakon.kz/Document/?doc_id=31910631" TargetMode="External"/><Relationship Id="rId65" Type="http://schemas.openxmlformats.org/officeDocument/2006/relationships/hyperlink" Target="http://online.zakon.kz/Document/?doc_id=35661416" TargetMode="External"/><Relationship Id="rId73" Type="http://schemas.openxmlformats.org/officeDocument/2006/relationships/hyperlink" Target="http://online.zakon.kz/Document/?doc_id=31578781" TargetMode="External"/><Relationship Id="rId78" Type="http://schemas.openxmlformats.org/officeDocument/2006/relationships/hyperlink" Target="http://online.zakon.kz/Document/?doc_id=30082649" TargetMode="External"/><Relationship Id="rId81" Type="http://schemas.openxmlformats.org/officeDocument/2006/relationships/hyperlink" Target="http://online.zakon.kz/Document/?doc_id=37803912" TargetMode="External"/><Relationship Id="rId86" Type="http://schemas.openxmlformats.org/officeDocument/2006/relationships/hyperlink" Target="http://online.zakon.kz/Document/?doc_id=30047236" TargetMode="External"/><Relationship Id="rId94" Type="http://schemas.openxmlformats.org/officeDocument/2006/relationships/hyperlink" Target="http://online.zakon.kz/Document/?doc_id=35427791" TargetMode="External"/><Relationship Id="rId99" Type="http://schemas.openxmlformats.org/officeDocument/2006/relationships/hyperlink" Target="http://online.zakon.kz/Document/?doc_id=39387280" TargetMode="External"/><Relationship Id="rId101" Type="http://schemas.openxmlformats.org/officeDocument/2006/relationships/hyperlink" Target="http://online.zakon.kz/Document/?doc_id=35427791" TargetMode="External"/><Relationship Id="rId122" Type="http://schemas.openxmlformats.org/officeDocument/2006/relationships/hyperlink" Target="http://online.zakon.kz/Document/?doc_id=37803912" TargetMode="External"/><Relationship Id="rId130" Type="http://schemas.openxmlformats.org/officeDocument/2006/relationships/hyperlink" Target="http://online.zakon.kz/Document/?doc_id=36300368" TargetMode="External"/><Relationship Id="rId135" Type="http://schemas.openxmlformats.org/officeDocument/2006/relationships/hyperlink" Target="http://online.zakon.kz/Document/?doc_id=35427791" TargetMode="External"/><Relationship Id="rId143" Type="http://schemas.openxmlformats.org/officeDocument/2006/relationships/hyperlink" Target="http://online.zakon.kz/Document/?doc_id=38588660" TargetMode="External"/><Relationship Id="rId148" Type="http://schemas.openxmlformats.org/officeDocument/2006/relationships/hyperlink" Target="http://online.zakon.kz/Document/?doc_id=35427791" TargetMode="External"/><Relationship Id="rId151" Type="http://schemas.openxmlformats.org/officeDocument/2006/relationships/hyperlink" Target="file:///C:\PRG_TOOLS\ParserTests\Clipboard1022496.0" TargetMode="External"/><Relationship Id="rId156" Type="http://schemas.openxmlformats.org/officeDocument/2006/relationships/hyperlink" Target="http://online.zakon.kz/Document/?doc_id=35427791" TargetMode="External"/><Relationship Id="rId164" Type="http://schemas.openxmlformats.org/officeDocument/2006/relationships/hyperlink" Target="http://online.zakon.kz/Document/?doc_id=35427791" TargetMode="External"/><Relationship Id="rId169" Type="http://schemas.openxmlformats.org/officeDocument/2006/relationships/hyperlink" Target="http://online.zakon.kz/Document/?doc_id=35427791" TargetMode="External"/><Relationship Id="rId177"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online.zakon.kz/Document/?doc_id=35427791" TargetMode="External"/><Relationship Id="rId172" Type="http://schemas.openxmlformats.org/officeDocument/2006/relationships/header" Target="header2.xml"/><Relationship Id="rId13" Type="http://schemas.openxmlformats.org/officeDocument/2006/relationships/hyperlink" Target="http://online.zakon.kz/Document/?doc_id=35427791" TargetMode="External"/><Relationship Id="rId18" Type="http://schemas.openxmlformats.org/officeDocument/2006/relationships/hyperlink" Target="http://online.zakon.kz/Document/?doc_id=35427791" TargetMode="External"/><Relationship Id="rId39" Type="http://schemas.openxmlformats.org/officeDocument/2006/relationships/hyperlink" Target="http://online.zakon.kz/Document/?doc_id=35427791" TargetMode="External"/><Relationship Id="rId109" Type="http://schemas.openxmlformats.org/officeDocument/2006/relationships/hyperlink" Target="http://online.zakon.kz/Document/?doc_id=1022496" TargetMode="External"/><Relationship Id="rId34" Type="http://schemas.openxmlformats.org/officeDocument/2006/relationships/hyperlink" Target="http://online.zakon.kz/Document/?doc_id=35427791" TargetMode="External"/><Relationship Id="rId50" Type="http://schemas.openxmlformats.org/officeDocument/2006/relationships/hyperlink" Target="http://online.zakon.kz/Document/?doc_id=35427791" TargetMode="External"/><Relationship Id="rId55" Type="http://schemas.openxmlformats.org/officeDocument/2006/relationships/hyperlink" Target="http://online.zakon.kz/Document/?doc_id=35427791" TargetMode="External"/><Relationship Id="rId76" Type="http://schemas.openxmlformats.org/officeDocument/2006/relationships/hyperlink" Target="http://online.zakon.kz/Document/?doc_id=35998562" TargetMode="External"/><Relationship Id="rId97" Type="http://schemas.openxmlformats.org/officeDocument/2006/relationships/hyperlink" Target="http://online.zakon.kz/Document/?doc_id=36300368" TargetMode="External"/><Relationship Id="rId104" Type="http://schemas.openxmlformats.org/officeDocument/2006/relationships/hyperlink" Target="http://online.zakon.kz/Document/?doc_id=35427791" TargetMode="External"/><Relationship Id="rId120" Type="http://schemas.openxmlformats.org/officeDocument/2006/relationships/hyperlink" Target="http://online.zakon.kz/Document/?doc_id=30063647" TargetMode="External"/><Relationship Id="rId125" Type="http://schemas.openxmlformats.org/officeDocument/2006/relationships/hyperlink" Target="http://online.zakon.kz/Document/?doc_id=30011106" TargetMode="External"/><Relationship Id="rId141" Type="http://schemas.openxmlformats.org/officeDocument/2006/relationships/hyperlink" Target="http://online.zakon.kz/Document/?doc_id=37803912" TargetMode="External"/><Relationship Id="rId146" Type="http://schemas.openxmlformats.org/officeDocument/2006/relationships/hyperlink" Target="http://online.zakon.kz/Document/?doc_id=1022392" TargetMode="External"/><Relationship Id="rId167" Type="http://schemas.openxmlformats.org/officeDocument/2006/relationships/hyperlink" Target="http://online.zakon.kz/Document/?doc_id=35427791" TargetMode="External"/><Relationship Id="rId7" Type="http://schemas.openxmlformats.org/officeDocument/2006/relationships/hyperlink" Target="http://online.zakon.kz/Document/?doc_id=35427791" TargetMode="External"/><Relationship Id="rId71" Type="http://schemas.openxmlformats.org/officeDocument/2006/relationships/hyperlink" Target="http://online.zakon.kz/Document/?doc_id=30047236" TargetMode="External"/><Relationship Id="rId92" Type="http://schemas.openxmlformats.org/officeDocument/2006/relationships/hyperlink" Target="http://online.zakon.kz/Document/?doc_id=35427791" TargetMode="External"/><Relationship Id="rId162" Type="http://schemas.openxmlformats.org/officeDocument/2006/relationships/hyperlink" Target="http://online.zakon.kz/Document/?doc_id=34601574" TargetMode="External"/><Relationship Id="rId2" Type="http://schemas.openxmlformats.org/officeDocument/2006/relationships/settings" Target="settings.xml"/><Relationship Id="rId29" Type="http://schemas.openxmlformats.org/officeDocument/2006/relationships/hyperlink" Target="http://online.zakon.kz/Document/?doc_id=35427791" TargetMode="External"/><Relationship Id="rId24" Type="http://schemas.openxmlformats.org/officeDocument/2006/relationships/hyperlink" Target="http://online.zakon.kz/Document/?doc_id=35427791" TargetMode="External"/><Relationship Id="rId40" Type="http://schemas.openxmlformats.org/officeDocument/2006/relationships/hyperlink" Target="http://online.zakon.kz/Document/?doc_id=35427791" TargetMode="External"/><Relationship Id="rId45" Type="http://schemas.openxmlformats.org/officeDocument/2006/relationships/hyperlink" Target="http://online.zakon.kz/Document/?doc_id=35427791" TargetMode="External"/><Relationship Id="rId66" Type="http://schemas.openxmlformats.org/officeDocument/2006/relationships/hyperlink" Target="http://online.zakon.kz/Document/?doc_id=36922044" TargetMode="External"/><Relationship Id="rId87" Type="http://schemas.openxmlformats.org/officeDocument/2006/relationships/hyperlink" Target="http://online.zakon.kz/Document/?doc_id=35427791" TargetMode="External"/><Relationship Id="rId110" Type="http://schemas.openxmlformats.org/officeDocument/2006/relationships/hyperlink" Target="http://online.zakon.kz/Document/?doc_id=36300368" TargetMode="External"/><Relationship Id="rId115" Type="http://schemas.openxmlformats.org/officeDocument/2006/relationships/hyperlink" Target="http://online.zakon.kz/Document/?doc_id=33821040" TargetMode="External"/><Relationship Id="rId131" Type="http://schemas.openxmlformats.org/officeDocument/2006/relationships/hyperlink" Target="http://online.zakon.kz/Document/?doc_id=37803912" TargetMode="External"/><Relationship Id="rId136" Type="http://schemas.openxmlformats.org/officeDocument/2006/relationships/hyperlink" Target="http://online.zakon.kz/Document/?doc_id=35427791" TargetMode="External"/><Relationship Id="rId157" Type="http://schemas.openxmlformats.org/officeDocument/2006/relationships/hyperlink" Target="http://online.zakon.kz/Document/?doc_id=1022496" TargetMode="External"/><Relationship Id="rId178" Type="http://schemas.openxmlformats.org/officeDocument/2006/relationships/theme" Target="theme/theme1.xml"/><Relationship Id="rId61" Type="http://schemas.openxmlformats.org/officeDocument/2006/relationships/hyperlink" Target="http://online.zakon.kz/Document/?doc_id=30782841" TargetMode="External"/><Relationship Id="rId82" Type="http://schemas.openxmlformats.org/officeDocument/2006/relationships/hyperlink" Target="http://online.zakon.kz/Document/?doc_id=39214714" TargetMode="External"/><Relationship Id="rId152" Type="http://schemas.openxmlformats.org/officeDocument/2006/relationships/hyperlink" Target="http://online.zakon.kz/Document/?doc_id=30040232" TargetMode="External"/><Relationship Id="rId173" Type="http://schemas.openxmlformats.org/officeDocument/2006/relationships/footer" Target="footer1.xml"/><Relationship Id="rId19" Type="http://schemas.openxmlformats.org/officeDocument/2006/relationships/hyperlink" Target="http://online.zakon.kz/Document/?doc_id=35427791" TargetMode="External"/><Relationship Id="rId14" Type="http://schemas.openxmlformats.org/officeDocument/2006/relationships/hyperlink" Target="http://online.zakon.kz/Document/?doc_id=35427791" TargetMode="External"/><Relationship Id="rId30" Type="http://schemas.openxmlformats.org/officeDocument/2006/relationships/hyperlink" Target="http://online.zakon.kz/Document/?doc_id=35427791" TargetMode="External"/><Relationship Id="rId35" Type="http://schemas.openxmlformats.org/officeDocument/2006/relationships/hyperlink" Target="http://online.zakon.kz/Document/?doc_id=35427791" TargetMode="External"/><Relationship Id="rId56" Type="http://schemas.openxmlformats.org/officeDocument/2006/relationships/hyperlink" Target="http://online.zakon.kz/Document/?doc_id=35427791" TargetMode="External"/><Relationship Id="rId77" Type="http://schemas.openxmlformats.org/officeDocument/2006/relationships/hyperlink" Target="http://online.zakon.kz/Document/?doc_id=30012160" TargetMode="External"/><Relationship Id="rId100" Type="http://schemas.openxmlformats.org/officeDocument/2006/relationships/hyperlink" Target="http://online.zakon.kz/Document/?doc_id=35661416" TargetMode="External"/><Relationship Id="rId105" Type="http://schemas.openxmlformats.org/officeDocument/2006/relationships/hyperlink" Target="http://online.zakon.kz/Document/?doc_id=31129515" TargetMode="External"/><Relationship Id="rId126" Type="http://schemas.openxmlformats.org/officeDocument/2006/relationships/hyperlink" Target="http://online.zakon.kz/Document/?doc_id=31910631" TargetMode="External"/><Relationship Id="rId147" Type="http://schemas.openxmlformats.org/officeDocument/2006/relationships/hyperlink" Target="http://online.zakon.kz/Document/?doc_id=35427791" TargetMode="External"/><Relationship Id="rId168" Type="http://schemas.openxmlformats.org/officeDocument/2006/relationships/hyperlink" Target="http://online.zakon.kz/Document/?doc_id=35427791" TargetMode="External"/><Relationship Id="rId8" Type="http://schemas.openxmlformats.org/officeDocument/2006/relationships/hyperlink" Target="http://online.zakon.kz/Document/?doc_id=35427791" TargetMode="External"/><Relationship Id="rId51" Type="http://schemas.openxmlformats.org/officeDocument/2006/relationships/hyperlink" Target="http://online.zakon.kz/Document/?doc_id=35427791" TargetMode="External"/><Relationship Id="rId72" Type="http://schemas.openxmlformats.org/officeDocument/2006/relationships/hyperlink" Target="http://online.zakon.kz/Document/?doc_id=1022496" TargetMode="External"/><Relationship Id="rId93" Type="http://schemas.openxmlformats.org/officeDocument/2006/relationships/hyperlink" Target="http://online.zakon.kz/Document/?doc_id=35427791" TargetMode="External"/><Relationship Id="rId98" Type="http://schemas.openxmlformats.org/officeDocument/2006/relationships/hyperlink" Target="http://online.zakon.kz/Document/?doc_id=37803912" TargetMode="External"/><Relationship Id="rId121" Type="http://schemas.openxmlformats.org/officeDocument/2006/relationships/hyperlink" Target="http://online.zakon.kz/Document/?doc_id=36300368" TargetMode="External"/><Relationship Id="rId142" Type="http://schemas.openxmlformats.org/officeDocument/2006/relationships/hyperlink" Target="http://online.zakon.kz/Document/?doc_id=39214714" TargetMode="External"/><Relationship Id="rId163" Type="http://schemas.openxmlformats.org/officeDocument/2006/relationships/hyperlink" Target="http://online.zakon.kz/Document/?doc_id=31117936" TargetMode="External"/><Relationship Id="rId3" Type="http://schemas.openxmlformats.org/officeDocument/2006/relationships/webSettings" Target="webSettings.xml"/><Relationship Id="rId25" Type="http://schemas.openxmlformats.org/officeDocument/2006/relationships/hyperlink" Target="http://online.zakon.kz/Document/?doc_id=35427791" TargetMode="External"/><Relationship Id="rId46" Type="http://schemas.openxmlformats.org/officeDocument/2006/relationships/hyperlink" Target="http://online.zakon.kz/Document/?doc_id=35427791" TargetMode="External"/><Relationship Id="rId67" Type="http://schemas.openxmlformats.org/officeDocument/2006/relationships/hyperlink" Target="http://online.zakon.kz/Document/?doc_id=37761798" TargetMode="External"/><Relationship Id="rId116" Type="http://schemas.openxmlformats.org/officeDocument/2006/relationships/hyperlink" Target="http://online.zakon.kz/Document/?doc_id=35427791" TargetMode="External"/><Relationship Id="rId137" Type="http://schemas.openxmlformats.org/officeDocument/2006/relationships/hyperlink" Target="http://online.zakon.kz/Document/?doc_id=30782841" TargetMode="External"/><Relationship Id="rId158" Type="http://schemas.openxmlformats.org/officeDocument/2006/relationships/hyperlink" Target="http://online.zakon.kz/Document/?doc_id=35427791" TargetMode="External"/><Relationship Id="rId20" Type="http://schemas.openxmlformats.org/officeDocument/2006/relationships/hyperlink" Target="http://online.zakon.kz/Document/?doc_id=35427791" TargetMode="External"/><Relationship Id="rId41" Type="http://schemas.openxmlformats.org/officeDocument/2006/relationships/hyperlink" Target="http://online.zakon.kz/Document/?doc_id=35427791" TargetMode="External"/><Relationship Id="rId62" Type="http://schemas.openxmlformats.org/officeDocument/2006/relationships/hyperlink" Target="http://online.zakon.kz/Document/?doc_id=35998562" TargetMode="External"/><Relationship Id="rId83" Type="http://schemas.openxmlformats.org/officeDocument/2006/relationships/hyperlink" Target="http://online.zakon.kz/Document/?doc_id=31130718" TargetMode="External"/><Relationship Id="rId88" Type="http://schemas.openxmlformats.org/officeDocument/2006/relationships/hyperlink" Target="http://online.zakon.kz/Document/?doc_id=35427791" TargetMode="External"/><Relationship Id="rId111" Type="http://schemas.openxmlformats.org/officeDocument/2006/relationships/hyperlink" Target="http://online.zakon.kz/Document/?doc_id=37803912" TargetMode="External"/><Relationship Id="rId132" Type="http://schemas.openxmlformats.org/officeDocument/2006/relationships/hyperlink" Target="http://online.zakon.kz/Document/?doc_id=35661416" TargetMode="External"/><Relationship Id="rId153" Type="http://schemas.openxmlformats.org/officeDocument/2006/relationships/hyperlink" Target="http://online.zakon.kz/Document/?doc_id=39214714" TargetMode="External"/><Relationship Id="rId174" Type="http://schemas.openxmlformats.org/officeDocument/2006/relationships/footer" Target="footer2.xml"/><Relationship Id="rId15" Type="http://schemas.openxmlformats.org/officeDocument/2006/relationships/hyperlink" Target="http://online.zakon.kz/Document/?doc_id=35427791" TargetMode="External"/><Relationship Id="rId36" Type="http://schemas.openxmlformats.org/officeDocument/2006/relationships/hyperlink" Target="http://online.zakon.kz/Document/?doc_id=35427791" TargetMode="External"/><Relationship Id="rId57" Type="http://schemas.openxmlformats.org/officeDocument/2006/relationships/hyperlink" Target="http://online.zakon.kz/Document/?doc_id=1051485" TargetMode="External"/><Relationship Id="rId106" Type="http://schemas.openxmlformats.org/officeDocument/2006/relationships/hyperlink" Target="http://online.zakon.kz/Document/?doc_id=35427791" TargetMode="External"/><Relationship Id="rId127" Type="http://schemas.openxmlformats.org/officeDocument/2006/relationships/hyperlink" Target="http://online.zakon.kz/Document/?doc_id=354277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19802</Words>
  <Characters>147974</Characters>
  <Application>Microsoft Office Word</Application>
  <DocSecurity>0</DocSecurity>
  <Lines>1233</Lines>
  <Paragraphs>334</Paragraphs>
  <ScaleCrop>false</ScaleCrop>
  <Company/>
  <LinksUpToDate>false</LinksUpToDate>
  <CharactersWithSpaces>167442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3.01-105-2013 «Благоустройство территорий населенных пунктов» (с изменениями и дополнениями по состоянию на 10.01.2020 г.) (©Paragraph 2021)</dc:title>
  <dc:subject/>
  <dc:creator>Сергей Мельников</dc:creator>
  <cp:keywords/>
  <dc:description/>
  <cp:lastModifiedBy>Сергей Мельников</cp:lastModifiedBy>
  <cp:revision>2</cp:revision>
  <dcterms:created xsi:type="dcterms:W3CDTF">2021-07-15T08:43:00Z</dcterms:created>
  <dcterms:modified xsi:type="dcterms:W3CDTF">2021-07-15T08:43:00Z</dcterms:modified>
</cp:coreProperties>
</file>