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A3FCA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4.04-104-2013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Наружное электрическое освещение городов, поселков и сельских населенных пунктов</w:t>
      </w:r>
      <w:r>
        <w:rPr>
          <w:rStyle w:val="s1"/>
        </w:rPr>
        <w:br/>
      </w:r>
      <w:r>
        <w:rPr>
          <w:rStyle w:val="s1"/>
        </w:rPr>
        <w:br/>
        <w:t>STREET LIGHTING OF URBAN COMMUNITIES AND RURAL SETTLEMENTS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center"/>
      </w:pPr>
      <w:bookmarkStart w:id="1" w:name="ContentStart"/>
      <w:bookmarkEnd w:id="1"/>
      <w:r>
        <w:rPr>
          <w:b/>
          <w:bCs/>
        </w:rPr>
        <w:t>СОДЕРЖАНИЕ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</w:pPr>
      <w:hyperlink r:id="rId6" w:anchor="sub_id=11" w:history="1">
        <w:r>
          <w:rPr>
            <w:rStyle w:val="a3"/>
          </w:rPr>
          <w:t>ВВЕДЕНИЕ</w:t>
        </w:r>
      </w:hyperlink>
    </w:p>
    <w:p w:rsidR="00000000" w:rsidRDefault="003A3FCA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3A3FCA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3A3FCA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3A3FCA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3A3FCA">
      <w:pPr>
        <w:ind w:firstLine="426"/>
        <w:jc w:val="both"/>
      </w:pPr>
      <w:hyperlink r:id="rId11" w:anchor="sub_id=500" w:history="1">
        <w:r>
          <w:rPr>
            <w:rStyle w:val="a3"/>
          </w:rPr>
          <w:t>5. ПРОЕКТИРОВАНИЕ УСТАНОВОК НА</w:t>
        </w:r>
        <w:r>
          <w:rPr>
            <w:rStyle w:val="a3"/>
          </w:rPr>
          <w:t>РУЖНОГО ЭЛЕКТРИЧЕСКОГО ОСВЕЩЕНИЯ УЛИЧНО-ДОРОЖНОЙ СЕТИ И ПЕШЕХОДНЫХ ПРОСТРАНСТВ</w:t>
        </w:r>
      </w:hyperlink>
    </w:p>
    <w:p w:rsidR="00000000" w:rsidRDefault="003A3FCA">
      <w:pPr>
        <w:ind w:firstLine="426"/>
        <w:jc w:val="both"/>
      </w:pPr>
      <w:hyperlink r:id="rId12" w:anchor="sub_id=600" w:history="1">
        <w:r>
          <w:rPr>
            <w:rStyle w:val="a3"/>
          </w:rPr>
          <w:t>6. ПРОЕКТИРОВАНИЕ УСТАНОВОК НАРУЖНОГО ЭЛЕКТРИЧЕСКОГО ОСВЕЩЕНИЯ ТЕРРИТОРИЙ ЖИЛЫХ РАЙОНОВ</w:t>
        </w:r>
      </w:hyperlink>
    </w:p>
    <w:p w:rsidR="00000000" w:rsidRDefault="003A3FCA">
      <w:pPr>
        <w:ind w:firstLine="426"/>
        <w:jc w:val="both"/>
      </w:pPr>
      <w:hyperlink r:id="rId13" w:anchor="sub_id=700" w:history="1">
        <w:r>
          <w:rPr>
            <w:rStyle w:val="a3"/>
          </w:rPr>
          <w:t>7. ПРОЕКТИРОВАНИЕ УСТАНОВОК АРХИТЕКТУРНОГО ОСВЕЩЕНИЯ И СВЕТОВОЙ РЕКЛАМЫ</w:t>
        </w:r>
      </w:hyperlink>
    </w:p>
    <w:p w:rsidR="00000000" w:rsidRDefault="003A3FCA">
      <w:pPr>
        <w:ind w:firstLine="426"/>
        <w:jc w:val="both"/>
      </w:pPr>
      <w:hyperlink r:id="rId14" w:anchor="sub_id=800" w:history="1">
        <w:r>
          <w:rPr>
            <w:rStyle w:val="a3"/>
          </w:rPr>
          <w:t>8. СВЕТОТЕХНИЧЕСКИЙ РАСЧЕТ УСТ</w:t>
        </w:r>
        <w:r>
          <w:rPr>
            <w:rStyle w:val="a3"/>
          </w:rPr>
          <w:t>АНОВОК НАРУЖНОГО ОСВЕЩЕНИЯ</w:t>
        </w:r>
      </w:hyperlink>
    </w:p>
    <w:p w:rsidR="00000000" w:rsidRDefault="003A3FCA">
      <w:pPr>
        <w:ind w:firstLine="426"/>
        <w:jc w:val="both"/>
      </w:pPr>
      <w:hyperlink r:id="rId15" w:anchor="sub_id=801" w:history="1">
        <w:r>
          <w:rPr>
            <w:rStyle w:val="a3"/>
          </w:rPr>
          <w:t>8.1 Общие положения</w:t>
        </w:r>
      </w:hyperlink>
    </w:p>
    <w:p w:rsidR="00000000" w:rsidRDefault="003A3FCA">
      <w:pPr>
        <w:ind w:firstLine="426"/>
        <w:jc w:val="both"/>
      </w:pPr>
      <w:hyperlink r:id="rId16" w:anchor="sub_id=802" w:history="1">
        <w:r>
          <w:rPr>
            <w:rStyle w:val="a3"/>
          </w:rPr>
          <w:t>8.2 Светотехнический расчет установок наружного</w:t>
        </w:r>
        <w:r>
          <w:rPr>
            <w:rStyle w:val="a3"/>
          </w:rPr>
          <w:t xml:space="preserve"> электрического освещения со светильниками</w:t>
        </w:r>
      </w:hyperlink>
    </w:p>
    <w:p w:rsidR="00000000" w:rsidRDefault="003A3FCA">
      <w:pPr>
        <w:ind w:firstLine="426"/>
        <w:jc w:val="both"/>
      </w:pPr>
      <w:hyperlink r:id="rId17" w:anchor="sub_id=803" w:history="1">
        <w:r>
          <w:rPr>
            <w:rStyle w:val="a3"/>
          </w:rPr>
          <w:t>8.3 Светотехнический расчет прожекторных установок наружного электрического освещения</w:t>
        </w:r>
      </w:hyperlink>
    </w:p>
    <w:p w:rsidR="00000000" w:rsidRDefault="003A3FCA">
      <w:pPr>
        <w:ind w:firstLine="426"/>
        <w:jc w:val="both"/>
      </w:pPr>
      <w:hyperlink r:id="rId18" w:anchor="sub_id=804" w:history="1">
        <w:r>
          <w:rPr>
            <w:rStyle w:val="a3"/>
          </w:rPr>
          <w:t>8.4 Проведение верификационных измерений</w:t>
        </w:r>
      </w:hyperlink>
    </w:p>
    <w:p w:rsidR="00000000" w:rsidRDefault="003A3FCA">
      <w:pPr>
        <w:ind w:firstLine="426"/>
        <w:jc w:val="both"/>
      </w:pPr>
      <w:hyperlink r:id="rId19" w:anchor="sub_id=1" w:history="1">
        <w:r>
          <w:rPr>
            <w:rStyle w:val="a3"/>
          </w:rPr>
          <w:t>ПРИЛОЖЕНИЕ А (обязательное). Особенности проектирования наружного электрического освещения с учетом т</w:t>
        </w:r>
        <w:r>
          <w:rPr>
            <w:rStyle w:val="a3"/>
          </w:rPr>
          <w:t>ребований Гражданской обороны</w:t>
        </w:r>
      </w:hyperlink>
    </w:p>
    <w:p w:rsidR="00000000" w:rsidRDefault="003A3FCA">
      <w:pPr>
        <w:ind w:firstLine="426"/>
        <w:jc w:val="both"/>
      </w:pPr>
      <w:hyperlink r:id="rId20" w:anchor="sub_id=2" w:history="1">
        <w:r>
          <w:rPr>
            <w:rStyle w:val="a3"/>
          </w:rPr>
          <w:t>ПРИЛОЖЕНИЕ Б (информационное). Типичные схемы размещения светильников наружного освещения на одноуровневых пересечениях при использовании 10- или 1</w:t>
        </w:r>
        <w:r>
          <w:rPr>
            <w:rStyle w:val="a3"/>
          </w:rPr>
          <w:t>2-метровых опор</w:t>
        </w:r>
      </w:hyperlink>
    </w:p>
    <w:p w:rsidR="00000000" w:rsidRDefault="003A3FCA">
      <w:pPr>
        <w:ind w:firstLine="426"/>
        <w:jc w:val="both"/>
      </w:pPr>
      <w:hyperlink r:id="rId21" w:anchor="sub_id=3" w:history="1">
        <w:r>
          <w:rPr>
            <w:rStyle w:val="a3"/>
          </w:rPr>
          <w:t>ПРИЛОЖЕНИЕ В (информационное). Определение расчетного поля и сетки расчетных точек для верификационных расчетов установок наружного электрического освещения улич</w:t>
        </w:r>
        <w:r>
          <w:rPr>
            <w:rStyle w:val="a3"/>
          </w:rPr>
          <w:t>но-дорожной сети, пешеходных пространств и окон зданий</w:t>
        </w:r>
      </w:hyperlink>
    </w:p>
    <w:p w:rsidR="00000000" w:rsidRDefault="003A3FCA">
      <w:pPr>
        <w:ind w:firstLine="426"/>
        <w:jc w:val="both"/>
      </w:pPr>
      <w:hyperlink r:id="rId22" w:anchor="sub_id=4" w:history="1">
        <w:r>
          <w:rPr>
            <w:rStyle w:val="a3"/>
          </w:rPr>
          <w:t xml:space="preserve">ПРИЛОЖЕНИЕ Г (информационное). Определение расчетного поля и сетки расчетных точек для верификационных расчетов установок </w:t>
        </w:r>
        <w:r>
          <w:rPr>
            <w:rStyle w:val="a3"/>
          </w:rPr>
          <w:t>наружного электрического освещения открытых спортивных сооружений</w:t>
        </w:r>
      </w:hyperlink>
    </w:p>
    <w:p w:rsidR="00000000" w:rsidRDefault="003A3FCA">
      <w:pPr>
        <w:ind w:firstLine="426"/>
        <w:jc w:val="both"/>
      </w:pPr>
      <w:hyperlink r:id="rId23" w:anchor="sub_id=5" w:history="1">
        <w:r>
          <w:rPr>
            <w:rStyle w:val="a3"/>
          </w:rPr>
          <w:t>ПРИЛОЖЕНИЕ Е (обязательное). Коэффициенты запаса светильников установок наружного электрического освещения в за</w:t>
        </w:r>
        <w:r>
          <w:rPr>
            <w:rStyle w:val="a3"/>
          </w:rPr>
          <w:t>висимости от степени защиты оболочки светильника</w:t>
        </w:r>
      </w:hyperlink>
    </w:p>
    <w:p w:rsidR="00000000" w:rsidRDefault="003A3FCA">
      <w:pPr>
        <w:ind w:firstLine="426"/>
        <w:jc w:val="both"/>
      </w:pPr>
      <w:hyperlink r:id="rId24" w:anchor="sub_id=6" w:history="1">
        <w:r>
          <w:rPr>
            <w:rStyle w:val="a3"/>
          </w:rPr>
          <w:t>ПРИЛОЖЕНИЕ Ж (обязательное). Требования к освещению открытых спортивных сооружений по видам спорта</w:t>
        </w:r>
      </w:hyperlink>
    </w:p>
    <w:p w:rsidR="00000000" w:rsidRDefault="003A3FCA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jc w:val="center"/>
      </w:pPr>
      <w:r>
        <w:rPr>
          <w:rStyle w:val="s1"/>
        </w:rPr>
        <w:t>ВВЕДЕНИЕ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Настоящий свод правил разработан на основе положений технических регламентов:</w:t>
      </w:r>
    </w:p>
    <w:p w:rsidR="00000000" w:rsidRDefault="003A3FCA">
      <w:pPr>
        <w:ind w:firstLine="426"/>
        <w:jc w:val="both"/>
      </w:pPr>
      <w:r>
        <w:lastRenderedPageBreak/>
        <w:t xml:space="preserve">- </w:t>
      </w:r>
      <w:hyperlink r:id="rId25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</w:t>
      </w:r>
      <w:r>
        <w:t xml:space="preserve"> и изделий», утвержденного постановлением Правительства Республики Казахстан № 1202 от 17 ноября 2010 года;</w:t>
      </w:r>
    </w:p>
    <w:p w:rsidR="00000000" w:rsidRDefault="003A3FCA">
      <w:pPr>
        <w:ind w:firstLine="426"/>
        <w:jc w:val="both"/>
      </w:pPr>
      <w:r>
        <w:t xml:space="preserve">- </w:t>
      </w:r>
      <w:hyperlink r:id="rId26" w:history="1">
        <w:r>
          <w:rPr>
            <w:rStyle w:val="a3"/>
          </w:rPr>
          <w:t>технического регламента</w:t>
        </w:r>
      </w:hyperlink>
      <w:r>
        <w:t xml:space="preserve"> «Общие требования к пожарной безопасности», утвержденного</w:t>
      </w:r>
      <w:r>
        <w:t xml:space="preserve"> постановлением Правительства Республики Казахстан от 16 января 2009 года № 14;</w:t>
      </w:r>
    </w:p>
    <w:p w:rsidR="00000000" w:rsidRDefault="003A3FCA">
      <w:pPr>
        <w:ind w:firstLine="426"/>
        <w:jc w:val="both"/>
      </w:pPr>
      <w:r>
        <w:t>- строительных норм и действующих нормативно-технических документов Республики Казахстан.</w:t>
      </w:r>
    </w:p>
    <w:p w:rsidR="00000000" w:rsidRDefault="003A3FCA">
      <w:pPr>
        <w:ind w:firstLine="426"/>
        <w:jc w:val="both"/>
      </w:pPr>
      <w:r>
        <w:t>В настоящем своде правил приводятся приемлемые решения и параметры, обеспечивающие вып</w:t>
      </w:r>
      <w:r>
        <w:t xml:space="preserve">олнение требований строительных норм Республики Казахстан </w:t>
      </w:r>
      <w:hyperlink r:id="rId27" w:history="1">
        <w:r>
          <w:rPr>
            <w:rStyle w:val="a3"/>
          </w:rPr>
          <w:t>СН РК 4.04-04-2013</w:t>
        </w:r>
      </w:hyperlink>
      <w:r>
        <w:t xml:space="preserve"> «Наружное электрическое освещение городов, поселков и сельских населенных пунктов».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jc w:val="center"/>
      </w:pPr>
      <w:r>
        <w:rPr>
          <w:rStyle w:val="s1"/>
        </w:rPr>
        <w:t>1. ОБЛАСТЬ ПРИМЕНЕНИЯ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1.</w:t>
      </w:r>
      <w:r>
        <w:t>1 Настоящий свод правил содержит приемлемые технические решения, обеспечивающие выполнение требований СН РК 4.04-04.</w:t>
      </w:r>
    </w:p>
    <w:p w:rsidR="00000000" w:rsidRDefault="003A3FCA">
      <w:pPr>
        <w:ind w:firstLine="426"/>
        <w:jc w:val="both"/>
      </w:pPr>
      <w:r>
        <w:t>1.2 Настоящий свод правил распространяется на проектирование вновь строящихся и реконструируемых установок наружного электрического освещен</w:t>
      </w:r>
      <w:r>
        <w:t>ия в пределах населенных пунктов:</w:t>
      </w:r>
    </w:p>
    <w:p w:rsidR="00000000" w:rsidRDefault="003A3FCA">
      <w:pPr>
        <w:ind w:firstLine="426"/>
        <w:jc w:val="both"/>
      </w:pPr>
      <w:r>
        <w:t>- улиц, дорог и площадей, транспортных и пешеходных пересечений и тоннелей;</w:t>
      </w:r>
    </w:p>
    <w:p w:rsidR="00000000" w:rsidRDefault="003A3FCA">
      <w:pPr>
        <w:ind w:firstLine="426"/>
        <w:jc w:val="both"/>
      </w:pPr>
      <w:r>
        <w:t>- территорий микрорайонов, детских садов/яслей, учебных заведений, гостиниц, пансионатов, санаториев, больниц, домов отдыха, парков, скверов, откр</w:t>
      </w:r>
      <w:r>
        <w:t>ытых спортивных сооружений, выставок;</w:t>
      </w:r>
    </w:p>
    <w:p w:rsidR="00000000" w:rsidRDefault="003A3FCA">
      <w:pPr>
        <w:ind w:firstLine="426"/>
        <w:jc w:val="both"/>
      </w:pPr>
      <w:r>
        <w:t>- установок архитектурного и ландшафтного освещения и световой рекламы.</w:t>
      </w:r>
    </w:p>
    <w:p w:rsidR="00000000" w:rsidRDefault="003A3FCA">
      <w:pPr>
        <w:ind w:firstLine="426"/>
        <w:jc w:val="both"/>
      </w:pPr>
      <w:r>
        <w:t>1.3 Настоящий свод правил не распространяется на проектирование установок наружного электрического освещения территорий парков и садов специальног</w:t>
      </w:r>
      <w:r>
        <w:t>о назначения (зоопарков, ботанических садов), железнодорожных станций и платформ, железнодорожных тоннелей и тоннелей метрополитена, пристаней, аэродромов, автомобильных дорог общей сети вне населенных пунктов, территорий промышленных предприятий, подсветк</w:t>
      </w:r>
      <w:r>
        <w:t>у дорожных знаков и указателей, установок праздничных световых шоу, праздничных световых инсталляций и праздничного освещения, а также витринного</w:t>
      </w:r>
    </w:p>
    <w:p w:rsidR="00000000" w:rsidRDefault="003A3FCA">
      <w:pPr>
        <w:ind w:firstLine="426"/>
        <w:jc w:val="both"/>
      </w:pPr>
      <w:r>
        <w:t>освещения.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jc w:val="center"/>
      </w:pPr>
      <w:r>
        <w:rPr>
          <w:rStyle w:val="s1"/>
        </w:rPr>
        <w:t>2. НОРМАТИВНЫЕ ССЫЛКИ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Для применения настоящего свода правил необходимы следующие ссылочные н</w:t>
      </w:r>
      <w:r>
        <w:t>ормативные документы:</w:t>
      </w:r>
    </w:p>
    <w:p w:rsidR="00000000" w:rsidRDefault="003A3FCA">
      <w:pPr>
        <w:ind w:firstLine="426"/>
        <w:jc w:val="both"/>
      </w:pPr>
      <w:hyperlink r:id="rId28" w:history="1">
        <w:r>
          <w:rPr>
            <w:rStyle w:val="a3"/>
          </w:rPr>
          <w:t>СН РК 2.04-01-2011</w:t>
        </w:r>
      </w:hyperlink>
      <w:r>
        <w:t xml:space="preserve"> Естественное и искусственное освещение.</w:t>
      </w:r>
    </w:p>
    <w:p w:rsidR="00000000" w:rsidRDefault="003A3FCA">
      <w:pPr>
        <w:ind w:firstLine="426"/>
        <w:jc w:val="both"/>
      </w:pPr>
      <w:hyperlink r:id="rId29" w:history="1">
        <w:r>
          <w:rPr>
            <w:rStyle w:val="a3"/>
          </w:rPr>
          <w:t>СН РК 4.04-04-2013</w:t>
        </w:r>
      </w:hyperlink>
      <w:r>
        <w:t xml:space="preserve"> Наружное электрическое осв</w:t>
      </w:r>
      <w:r>
        <w:t>ещение городов, поселков и сельских населенных пунктов.</w:t>
      </w:r>
    </w:p>
    <w:p w:rsidR="00000000" w:rsidRDefault="003A3FCA">
      <w:pPr>
        <w:ind w:firstLine="426"/>
        <w:jc w:val="both"/>
      </w:pPr>
      <w:hyperlink r:id="rId30" w:history="1">
        <w:r>
          <w:rPr>
            <w:rStyle w:val="a3"/>
          </w:rPr>
          <w:t>ГОСТ 14254-96</w:t>
        </w:r>
      </w:hyperlink>
      <w:r>
        <w:t xml:space="preserve"> Степени защиты, обеспечиваемые оболочками (код IP).</w:t>
      </w:r>
    </w:p>
    <w:p w:rsidR="00000000" w:rsidRDefault="003A3FCA">
      <w:pPr>
        <w:ind w:firstLine="426"/>
        <w:jc w:val="both"/>
      </w:pPr>
      <w:r>
        <w:t>«</w:t>
      </w:r>
      <w:hyperlink r:id="rId31" w:anchor="sub_id=100" w:history="1">
        <w:r>
          <w:rPr>
            <w:rStyle w:val="a3"/>
          </w:rPr>
          <w:t>Правила устройства электроустановок</w:t>
        </w:r>
      </w:hyperlink>
      <w:r>
        <w:t>», утвержденные постановлением Правительства Республики Казахстан от 24 октября 2012 года № 1355.</w:t>
      </w:r>
    </w:p>
    <w:p w:rsidR="00000000" w:rsidRDefault="003A3FCA">
      <w:pPr>
        <w:ind w:firstLine="426"/>
        <w:jc w:val="both"/>
      </w:pPr>
      <w:r>
        <w:rPr>
          <w:b/>
          <w:bCs/>
        </w:rPr>
        <w:t>ПРИМЕЧАНИЕ</w:t>
      </w:r>
      <w:r>
        <w:t>. При пользовании настоящим государственным нормативом целесообразно проверить действие ссылочных до</w:t>
      </w:r>
      <w:r>
        <w:t>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</w:t>
      </w:r>
      <w:r>
        <w:t xml:space="preserve"> Казахстан» и «Указателю межгосударственных нормативных документов», составляемых ежегодно по </w:t>
      </w:r>
      <w:r>
        <w:lastRenderedPageBreak/>
        <w:t>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док</w:t>
      </w:r>
      <w:r>
        <w:t>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jc w:val="center"/>
      </w:pPr>
      <w:r>
        <w:rPr>
          <w:rStyle w:val="s1"/>
        </w:rPr>
        <w:t>3. ТЕРМИНЫ И ОПРЕДЕЛЕНИЯ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3A3FCA">
      <w:pPr>
        <w:ind w:firstLine="426"/>
        <w:jc w:val="both"/>
      </w:pPr>
      <w:r>
        <w:t xml:space="preserve">3.1 </w:t>
      </w:r>
      <w:r>
        <w:rPr>
          <w:b/>
          <w:bCs/>
        </w:rPr>
        <w:t>Венчающий светильник:</w:t>
      </w:r>
      <w:r>
        <w:t xml:space="preserve"> Осветительный прибор, асимметрично закрепленный на вертикальной опоре.</w:t>
      </w:r>
    </w:p>
    <w:p w:rsidR="00000000" w:rsidRDefault="003A3FCA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Вертикальная освещенность, </w:t>
      </w:r>
      <w:r>
        <w:t>лк: Освещенность на вертикальной плоско</w:t>
      </w:r>
      <w:r>
        <w:t>сти.</w:t>
      </w:r>
    </w:p>
    <w:p w:rsidR="00000000" w:rsidRDefault="003A3FCA">
      <w:pPr>
        <w:ind w:firstLine="426"/>
        <w:jc w:val="both"/>
      </w:pPr>
      <w:r>
        <w:t xml:space="preserve">3.3 </w:t>
      </w:r>
      <w:r>
        <w:rPr>
          <w:b/>
          <w:bCs/>
        </w:rPr>
        <w:t>Горизонтальная освещенность,</w:t>
      </w:r>
      <w:r>
        <w:t xml:space="preserve"> лк: Освещенность на горизонтальной плоскости.</w:t>
      </w:r>
    </w:p>
    <w:p w:rsidR="00000000" w:rsidRDefault="003A3FCA">
      <w:pPr>
        <w:ind w:firstLine="426"/>
        <w:jc w:val="both"/>
      </w:pPr>
      <w:r>
        <w:t xml:space="preserve">3.4 </w:t>
      </w:r>
      <w:r>
        <w:rPr>
          <w:b/>
          <w:bCs/>
        </w:rPr>
        <w:t>Консольный светильник:</w:t>
      </w:r>
      <w:r>
        <w:t xml:space="preserve"> Осветительный прибор, световой центр которого смещен относительно оси опоры, закрепляемый к опоре на кронштейне.</w:t>
      </w:r>
    </w:p>
    <w:p w:rsidR="00000000" w:rsidRDefault="003A3FCA">
      <w:pPr>
        <w:ind w:firstLine="426"/>
        <w:jc w:val="both"/>
      </w:pPr>
      <w:r>
        <w:t xml:space="preserve">3.5 </w:t>
      </w:r>
      <w:r>
        <w:rPr>
          <w:b/>
          <w:bCs/>
        </w:rPr>
        <w:t>Конфликтная площадь:</w:t>
      </w:r>
      <w:r>
        <w:t xml:space="preserve"> Зона, в</w:t>
      </w:r>
      <w:r>
        <w:t xml:space="preserve"> пределах которой моторизованные транспортные потоки пересекаются или накладываются на площади, обычно используемые другими пользователями.</w:t>
      </w:r>
    </w:p>
    <w:p w:rsidR="00000000" w:rsidRDefault="003A3FCA">
      <w:pPr>
        <w:ind w:firstLine="426"/>
        <w:jc w:val="both"/>
      </w:pPr>
      <w:r>
        <w:t xml:space="preserve">3.6 </w:t>
      </w:r>
      <w:r>
        <w:rPr>
          <w:b/>
          <w:bCs/>
        </w:rPr>
        <w:t>Коэффициент блескости:</w:t>
      </w:r>
      <w:r>
        <w:t xml:space="preserve"> Коэффициент, определяющий прямую блескость светильников наружного освещения, определяемый</w:t>
      </w:r>
      <w:r>
        <w:t xml:space="preserve"> по </w:t>
      </w:r>
      <w:hyperlink r:id="rId32" w:history="1">
        <w:r>
          <w:rPr>
            <w:rStyle w:val="a3"/>
          </w:rPr>
          <w:t>СН РК 2.04-01</w:t>
        </w:r>
      </w:hyperlink>
      <w:r>
        <w:t>.</w:t>
      </w:r>
    </w:p>
    <w:p w:rsidR="00000000" w:rsidRDefault="003A3FCA">
      <w:pPr>
        <w:ind w:firstLine="426"/>
        <w:jc w:val="both"/>
      </w:pPr>
      <w:r>
        <w:t xml:space="preserve">3.7 </w:t>
      </w:r>
      <w:r>
        <w:rPr>
          <w:b/>
          <w:bCs/>
        </w:rPr>
        <w:t>Коэффициент запаса:</w:t>
      </w:r>
      <w:r>
        <w:t xml:space="preserve"> Расчетный коэффициент, учитывающий снижение освещенности или яркости в процессе эксплуатации осветительной установки вследствие загрязнения и невосс</w:t>
      </w:r>
      <w:r>
        <w:t>танавливаемого изменения отражающих и пропускающих свойств оптических элементов осветительных приборов, спада светового потока и выхода из строя источников света, а также загрязнения поверхностей наружных стен здания или сооружения, проезжей части дороги и</w:t>
      </w:r>
      <w:r>
        <w:t>ли улицы.</w:t>
      </w:r>
    </w:p>
    <w:p w:rsidR="00000000" w:rsidRDefault="003A3FCA">
      <w:pPr>
        <w:ind w:firstLine="426"/>
        <w:jc w:val="both"/>
      </w:pPr>
      <w:r>
        <w:t xml:space="preserve">3.8 </w:t>
      </w:r>
      <w:r>
        <w:rPr>
          <w:b/>
          <w:bCs/>
        </w:rPr>
        <w:t>Коэффициент общей равномерности распределения освещенности:</w:t>
      </w:r>
      <w:r>
        <w:t xml:space="preserve"> Отношение минимальной освещенности к средней освещенности на освещаемом участке.</w:t>
      </w:r>
    </w:p>
    <w:p w:rsidR="00000000" w:rsidRDefault="003A3FCA">
      <w:pPr>
        <w:ind w:firstLine="426"/>
        <w:jc w:val="both"/>
      </w:pPr>
      <w:r>
        <w:t xml:space="preserve">3.9 </w:t>
      </w:r>
      <w:r>
        <w:rPr>
          <w:b/>
          <w:bCs/>
        </w:rPr>
        <w:t>Коэффициент общей равномерности распределения яркости:</w:t>
      </w:r>
      <w:r>
        <w:t xml:space="preserve"> Отношение минимальной яркости к средней яр</w:t>
      </w:r>
      <w:r>
        <w:t>кости на наблюдаемой площади.</w:t>
      </w:r>
    </w:p>
    <w:p w:rsidR="00000000" w:rsidRDefault="003A3FCA">
      <w:pPr>
        <w:ind w:firstLine="426"/>
        <w:jc w:val="both"/>
      </w:pPr>
      <w:r>
        <w:t xml:space="preserve">3.10 </w:t>
      </w:r>
      <w:r>
        <w:rPr>
          <w:b/>
          <w:bCs/>
        </w:rPr>
        <w:t>Коэффициент продольной равномерности распределения яркости:</w:t>
      </w:r>
      <w:r>
        <w:t xml:space="preserve"> Отношение минимальной яркости к максимальной яркости на наблюдаемой площади.</w:t>
      </w:r>
    </w:p>
    <w:p w:rsidR="00000000" w:rsidRDefault="003A3FCA">
      <w:pPr>
        <w:ind w:firstLine="426"/>
        <w:jc w:val="both"/>
      </w:pPr>
      <w:r>
        <w:t xml:space="preserve">3.11 </w:t>
      </w:r>
      <w:r>
        <w:rPr>
          <w:b/>
          <w:bCs/>
        </w:rPr>
        <w:t>Максимальная освещенность,</w:t>
      </w:r>
      <w:r>
        <w:t xml:space="preserve"> лк: Наибольшее значение освещенности на освещаемом у</w:t>
      </w:r>
      <w:r>
        <w:t>частке.</w:t>
      </w:r>
    </w:p>
    <w:p w:rsidR="00000000" w:rsidRDefault="003A3FCA">
      <w:pPr>
        <w:ind w:firstLine="426"/>
        <w:jc w:val="both"/>
      </w:pPr>
      <w:r>
        <w:t xml:space="preserve">3.12 </w:t>
      </w:r>
      <w:r>
        <w:rPr>
          <w:b/>
          <w:bCs/>
        </w:rPr>
        <w:t>Максимальная яркость дорожного покрытия,</w:t>
      </w:r>
      <w:r>
        <w:t xml:space="preserve"> кд/м</w:t>
      </w:r>
      <w:r>
        <w:rPr>
          <w:vertAlign w:val="superscript"/>
        </w:rPr>
        <w:t>2</w:t>
      </w:r>
      <w:r>
        <w:t>: Максимальная на наблюдаемой площади яркость сухого дорожного покрытия в направлении глаз наблюдателя, находящегося в стандартных условиях наблюдения по оси движения транспорта.</w:t>
      </w:r>
    </w:p>
    <w:p w:rsidR="00000000" w:rsidRDefault="003A3FCA">
      <w:pPr>
        <w:ind w:firstLine="426"/>
        <w:jc w:val="both"/>
      </w:pPr>
      <w:r>
        <w:t xml:space="preserve">3.13 </w:t>
      </w:r>
      <w:r>
        <w:rPr>
          <w:b/>
          <w:bCs/>
        </w:rPr>
        <w:t>Маскировочное</w:t>
      </w:r>
      <w:r>
        <w:rPr>
          <w:b/>
          <w:bCs/>
        </w:rPr>
        <w:t xml:space="preserve"> освещение:</w:t>
      </w:r>
      <w:r>
        <w:t xml:space="preserve"> Наружное и внутреннее, общее или местное освещение, не отключаемое в режиме полного затемнения.</w:t>
      </w:r>
    </w:p>
    <w:p w:rsidR="00000000" w:rsidRDefault="003A3FCA">
      <w:pPr>
        <w:ind w:firstLine="426"/>
        <w:jc w:val="both"/>
      </w:pPr>
      <w:r>
        <w:t xml:space="preserve">3.14 </w:t>
      </w:r>
      <w:r>
        <w:rPr>
          <w:b/>
          <w:bCs/>
        </w:rPr>
        <w:t>Минимальная освещенность,</w:t>
      </w:r>
      <w:r>
        <w:t xml:space="preserve"> лк: Наименьшее значение освещенности на освещаемом участке.</w:t>
      </w:r>
    </w:p>
    <w:p w:rsidR="00000000" w:rsidRDefault="003A3FCA">
      <w:pPr>
        <w:ind w:firstLine="426"/>
        <w:jc w:val="both"/>
      </w:pPr>
      <w:r>
        <w:t xml:space="preserve">3.15 </w:t>
      </w:r>
      <w:r>
        <w:rPr>
          <w:b/>
          <w:bCs/>
        </w:rPr>
        <w:t>Минимальная яркость дорожного покрытия,</w:t>
      </w:r>
      <w:r>
        <w:t xml:space="preserve"> кд/м</w:t>
      </w:r>
      <w:r>
        <w:rPr>
          <w:vertAlign w:val="superscript"/>
        </w:rPr>
        <w:t>2</w:t>
      </w:r>
      <w:r>
        <w:t>: Миним</w:t>
      </w:r>
      <w:r>
        <w:t>альная на наблюдаемой площади яркость сухого дорожного покрытия в направлении глаз наблюдателя, находящегося в стандартных условиях наблюдения по оси движения транспорта.</w:t>
      </w:r>
    </w:p>
    <w:p w:rsidR="00000000" w:rsidRDefault="003A3FCA">
      <w:pPr>
        <w:ind w:firstLine="426"/>
        <w:jc w:val="both"/>
      </w:pPr>
      <w:r>
        <w:t xml:space="preserve">3.16 </w:t>
      </w:r>
      <w:r>
        <w:rPr>
          <w:b/>
          <w:bCs/>
        </w:rPr>
        <w:t>Освещенность,</w:t>
      </w:r>
      <w:r>
        <w:t xml:space="preserve"> лк: Отношение светового потока, падающего на элемент поверхности, </w:t>
      </w:r>
      <w:r>
        <w:t>содержащий рассматриваемую точку, к площади этого элемента.</w:t>
      </w:r>
    </w:p>
    <w:p w:rsidR="00000000" w:rsidRDefault="003A3FCA">
      <w:pPr>
        <w:ind w:firstLine="426"/>
        <w:jc w:val="both"/>
      </w:pPr>
      <w:r>
        <w:t xml:space="preserve">3.17 </w:t>
      </w:r>
      <w:r>
        <w:rPr>
          <w:b/>
          <w:bCs/>
        </w:rPr>
        <w:t>Перекресток:</w:t>
      </w:r>
      <w:r>
        <w:t xml:space="preserve"> Транспортный узел, где две или более дороги соединяются или пересекаются в одном уровне, включающем дорогу с прилегающим пространством для движения транспорта.</w:t>
      </w:r>
    </w:p>
    <w:p w:rsidR="00000000" w:rsidRDefault="003A3FCA">
      <w:pPr>
        <w:ind w:firstLine="426"/>
        <w:jc w:val="both"/>
      </w:pPr>
      <w:r>
        <w:lastRenderedPageBreak/>
        <w:t xml:space="preserve">3.18 </w:t>
      </w:r>
      <w:r>
        <w:rPr>
          <w:b/>
          <w:bCs/>
        </w:rPr>
        <w:t xml:space="preserve">Полуцилиндрическая освещенность, </w:t>
      </w:r>
      <w:r>
        <w:t>лк: Характеристика насыщенности светом пространства и тенеобразующего эффекта освещения для наблюдателя, движущегося по улице параллельно ее оси. Определяется как средняя плотность светового потока на поверхности вертикальн</w:t>
      </w:r>
      <w:r>
        <w:t>о расположенного (на продольной линии улицы, на высоте 1,5 м) полуцилиндра, радиус и высота которого стремятся к нулю.</w:t>
      </w:r>
    </w:p>
    <w:p w:rsidR="00000000" w:rsidRDefault="003A3FCA">
      <w:pPr>
        <w:ind w:firstLine="426"/>
        <w:jc w:val="both"/>
      </w:pPr>
      <w:r>
        <w:t xml:space="preserve">3.19 </w:t>
      </w:r>
      <w:r>
        <w:rPr>
          <w:b/>
          <w:bCs/>
        </w:rPr>
        <w:t>Пороговое приращение яркостей,</w:t>
      </w:r>
      <w:r>
        <w:t xml:space="preserve"> %: Критерий, регламентирующий слепящее действие светильников в поле зрения водителя транспортного сре</w:t>
      </w:r>
      <w:r>
        <w:t xml:space="preserve">дства, определяемый по </w:t>
      </w:r>
      <w:hyperlink r:id="rId33" w:history="1">
        <w:r>
          <w:rPr>
            <w:rStyle w:val="a3"/>
          </w:rPr>
          <w:t>СН РК 2.04-01-2011</w:t>
        </w:r>
      </w:hyperlink>
      <w:r>
        <w:t>.</w:t>
      </w:r>
    </w:p>
    <w:p w:rsidR="00000000" w:rsidRDefault="003A3FCA">
      <w:pPr>
        <w:ind w:firstLine="426"/>
        <w:jc w:val="both"/>
      </w:pPr>
      <w:r>
        <w:t xml:space="preserve">3.20 </w:t>
      </w:r>
      <w:r>
        <w:rPr>
          <w:b/>
          <w:bCs/>
        </w:rPr>
        <w:t>Пункт питания наружного освещения:</w:t>
      </w:r>
      <w:r>
        <w:t xml:space="preserve"> Электрическое распределительное устройство для соединения распределительной сети наружного освещения с транс</w:t>
      </w:r>
      <w:r>
        <w:t>форматорными подстанциями или ответвлениями от сборок.</w:t>
      </w:r>
    </w:p>
    <w:p w:rsidR="00000000" w:rsidRDefault="003A3FCA">
      <w:pPr>
        <w:ind w:firstLine="426"/>
        <w:jc w:val="both"/>
      </w:pPr>
      <w:r>
        <w:t xml:space="preserve">3.21 </w:t>
      </w:r>
      <w:r>
        <w:rPr>
          <w:b/>
          <w:bCs/>
        </w:rPr>
        <w:t>Релевантная зона конфликтной площади:</w:t>
      </w:r>
      <w:r>
        <w:t xml:space="preserve"> Часть освещаемой конфликтной площади, значимая с точки зрения принятых целей и критериев освещения.</w:t>
      </w:r>
    </w:p>
    <w:p w:rsidR="00000000" w:rsidRDefault="003A3FCA">
      <w:pPr>
        <w:ind w:firstLine="426"/>
        <w:jc w:val="both"/>
      </w:pPr>
      <w:r>
        <w:t xml:space="preserve">3.22 </w:t>
      </w:r>
      <w:r>
        <w:rPr>
          <w:b/>
          <w:bCs/>
        </w:rPr>
        <w:t>Световой комплекс:</w:t>
      </w:r>
      <w:r>
        <w:t xml:space="preserve"> Группа светильников (два и более) </w:t>
      </w:r>
      <w:r>
        <w:t>одинакового назначения, установленных на одной опорной конструкции.</w:t>
      </w:r>
    </w:p>
    <w:p w:rsidR="00000000" w:rsidRDefault="003A3FCA">
      <w:pPr>
        <w:ind w:firstLine="426"/>
        <w:jc w:val="both"/>
      </w:pPr>
      <w:r>
        <w:t xml:space="preserve">3.23 </w:t>
      </w:r>
      <w:r>
        <w:rPr>
          <w:b/>
          <w:bCs/>
        </w:rPr>
        <w:t>Светодиод:</w:t>
      </w:r>
      <w:r>
        <w:t xml:space="preserve"> Источник света, основанный на испускании некогерентного излучения в видимом диапазоне длин волн при пропускании электрического тока через полупроводниковый диод.</w:t>
      </w:r>
    </w:p>
    <w:p w:rsidR="00000000" w:rsidRDefault="003A3FCA">
      <w:pPr>
        <w:ind w:firstLine="426"/>
        <w:jc w:val="both"/>
      </w:pPr>
      <w:r>
        <w:t xml:space="preserve">3.24 </w:t>
      </w:r>
      <w:r>
        <w:rPr>
          <w:b/>
          <w:bCs/>
        </w:rPr>
        <w:t>Средн</w:t>
      </w:r>
      <w:r>
        <w:rPr>
          <w:b/>
          <w:bCs/>
        </w:rPr>
        <w:t>яя освещенность,</w:t>
      </w:r>
      <w:r>
        <w:t xml:space="preserve"> лк: Освещенность, усредненная (средневзвешенная) по площади освещаемого участка.</w:t>
      </w:r>
    </w:p>
    <w:p w:rsidR="00000000" w:rsidRDefault="003A3FCA">
      <w:pPr>
        <w:ind w:firstLine="426"/>
        <w:jc w:val="both"/>
      </w:pPr>
      <w:r>
        <w:t xml:space="preserve">3.25 </w:t>
      </w:r>
      <w:r>
        <w:rPr>
          <w:b/>
          <w:bCs/>
        </w:rPr>
        <w:t>Средняя яркость дорожного покрытия,</w:t>
      </w:r>
      <w:r>
        <w:t xml:space="preserve"> кд/м</w:t>
      </w:r>
      <w:r>
        <w:rPr>
          <w:vertAlign w:val="superscript"/>
        </w:rPr>
        <w:t>2</w:t>
      </w:r>
      <w:r>
        <w:t>: Усредненная (средневзвешенная) по площади яркость сухого дорожного покрытия в направлении глаз наблюдателя, находящегося в стандартных условиях наблюдения по оси движения транспорта.</w:t>
      </w:r>
    </w:p>
    <w:p w:rsidR="00000000" w:rsidRDefault="003A3FCA">
      <w:pPr>
        <w:ind w:firstLine="426"/>
        <w:jc w:val="both"/>
      </w:pPr>
      <w:r>
        <w:t xml:space="preserve">3.26 </w:t>
      </w:r>
      <w:r>
        <w:rPr>
          <w:b/>
          <w:bCs/>
        </w:rPr>
        <w:t>Стандартные условия наблюдения:</w:t>
      </w:r>
      <w:r>
        <w:t xml:space="preserve"> Регламентируемые при расчете яркос</w:t>
      </w:r>
      <w:r>
        <w:t>ти дорожного покрытия условия наблюдения, при которых глаз наблюдателя располагается на высоте 1,5 м над дорожным покрытием и удален от расчетной точки на расстояние, при котором линия зрения направлена в расчетную точку под углом (1,0±0,5)º к плоскости по</w:t>
      </w:r>
      <w:r>
        <w:t>лотна дороги.</w:t>
      </w:r>
    </w:p>
    <w:p w:rsidR="00000000" w:rsidRDefault="003A3FCA">
      <w:pPr>
        <w:ind w:firstLine="426"/>
        <w:jc w:val="both"/>
      </w:pPr>
      <w:r>
        <w:t xml:space="preserve">3.27 </w:t>
      </w:r>
      <w:r>
        <w:rPr>
          <w:b/>
          <w:bCs/>
        </w:rPr>
        <w:t>Транспортная развязка:</w:t>
      </w:r>
      <w:r>
        <w:t xml:space="preserve"> Соединение дорог в разных уровнях со съездами для перехода транспортных средств с одной дороги на другую.</w:t>
      </w:r>
    </w:p>
    <w:p w:rsidR="00000000" w:rsidRDefault="003A3FCA">
      <w:pPr>
        <w:ind w:firstLine="426"/>
        <w:jc w:val="both"/>
      </w:pPr>
      <w:r>
        <w:t xml:space="preserve">3.28 </w:t>
      </w:r>
      <w:r>
        <w:rPr>
          <w:b/>
          <w:bCs/>
        </w:rPr>
        <w:t>Улично-дорожная сеть:</w:t>
      </w:r>
      <w:r>
        <w:t xml:space="preserve"> Совокупность улиц, дорог, проездов, площадей и пешеходных пространств в пределах </w:t>
      </w:r>
      <w:r>
        <w:t>селитебной зоны.</w:t>
      </w:r>
    </w:p>
    <w:p w:rsidR="00000000" w:rsidRDefault="003A3FCA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Цветопередача: </w:t>
      </w:r>
      <w:r>
        <w:t>Общее понятие, характеризующее влияние спектрального состава источника света на зрительное восприятие цветных объектов, сознательно или бессознательно сравниваемое с восприятием тех же объектов, освещенных стандартным и</w:t>
      </w:r>
      <w:r>
        <w:t>сточником света.</w:t>
      </w:r>
    </w:p>
    <w:p w:rsidR="00000000" w:rsidRDefault="003A3FCA">
      <w:pPr>
        <w:ind w:firstLine="426"/>
        <w:jc w:val="both"/>
      </w:pPr>
      <w:r>
        <w:t xml:space="preserve">3.30 </w:t>
      </w:r>
      <w:r>
        <w:rPr>
          <w:b/>
          <w:bCs/>
        </w:rPr>
        <w:t>Шаг установки светильников:</w:t>
      </w:r>
      <w:r>
        <w:t xml:space="preserve"> Расстояние между светильниками или их комплексами в одном ряду по линии их расположения вдоль улицы.</w:t>
      </w:r>
    </w:p>
    <w:p w:rsidR="00000000" w:rsidRDefault="003A3FCA">
      <w:pPr>
        <w:ind w:firstLine="426"/>
        <w:jc w:val="both"/>
      </w:pPr>
      <w:r>
        <w:t xml:space="preserve">3.31 </w:t>
      </w:r>
      <w:r>
        <w:rPr>
          <w:b/>
          <w:bCs/>
        </w:rPr>
        <w:t>Эксплуатант:</w:t>
      </w:r>
      <w:r>
        <w:t xml:space="preserve"> Предприятие, выполняющее эксплуатацию объекта.</w:t>
      </w:r>
    </w:p>
    <w:p w:rsidR="00000000" w:rsidRDefault="003A3FCA">
      <w:pPr>
        <w:ind w:firstLine="426"/>
        <w:jc w:val="both"/>
      </w:pPr>
      <w:r>
        <w:t xml:space="preserve">3.32 </w:t>
      </w:r>
      <w:r>
        <w:rPr>
          <w:b/>
          <w:bCs/>
        </w:rPr>
        <w:t>Яркость,</w:t>
      </w:r>
      <w:r>
        <w:t xml:space="preserve"> кд/м</w:t>
      </w:r>
      <w:r>
        <w:rPr>
          <w:vertAlign w:val="superscript"/>
        </w:rPr>
        <w:t>2</w:t>
      </w:r>
      <w:r>
        <w:t>: Световой поток, пос</w:t>
      </w:r>
      <w:r>
        <w:t>ылаемый в данном направлении единицей видимой поверхности в единичном телесном угле; отношение силы света в данном направлении к площади проекции излучающей поверхности на плоскость, перпендикулярную к данному направлению.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jc w:val="center"/>
      </w:pPr>
      <w:r>
        <w:rPr>
          <w:rStyle w:val="s1"/>
        </w:rPr>
        <w:t>4. ОБЩИЕ ПОЛОЖЕНИЯ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4.1 Разр</w:t>
      </w:r>
      <w:r>
        <w:t>аботка проекта наружного электрического освещения включает в себя:</w:t>
      </w:r>
    </w:p>
    <w:p w:rsidR="00000000" w:rsidRDefault="003A3FCA">
      <w:pPr>
        <w:ind w:firstLine="426"/>
        <w:jc w:val="both"/>
      </w:pPr>
      <w:r>
        <w:t>- ознакомление с объектом проектирования;</w:t>
      </w:r>
    </w:p>
    <w:p w:rsidR="00000000" w:rsidRDefault="003A3FCA">
      <w:pPr>
        <w:ind w:firstLine="426"/>
        <w:jc w:val="both"/>
      </w:pPr>
      <w:r>
        <w:t>- выбор норм освещенности;</w:t>
      </w:r>
    </w:p>
    <w:p w:rsidR="00000000" w:rsidRDefault="003A3FCA">
      <w:pPr>
        <w:ind w:firstLine="426"/>
        <w:jc w:val="both"/>
      </w:pPr>
      <w:r>
        <w:t>- выбор системы освещения;</w:t>
      </w:r>
    </w:p>
    <w:p w:rsidR="00000000" w:rsidRDefault="003A3FCA">
      <w:pPr>
        <w:ind w:firstLine="426"/>
        <w:jc w:val="both"/>
      </w:pPr>
      <w:r>
        <w:t>- выбор источников света и типа осветительных приборов;</w:t>
      </w:r>
    </w:p>
    <w:p w:rsidR="00000000" w:rsidRDefault="003A3FCA">
      <w:pPr>
        <w:ind w:firstLine="426"/>
        <w:jc w:val="both"/>
      </w:pPr>
      <w:r>
        <w:lastRenderedPageBreak/>
        <w:t>- разработку вариантов размещения осв</w:t>
      </w:r>
      <w:r>
        <w:t>етительных приборов;</w:t>
      </w:r>
    </w:p>
    <w:p w:rsidR="00000000" w:rsidRDefault="003A3FCA">
      <w:pPr>
        <w:ind w:firstLine="426"/>
        <w:jc w:val="both"/>
      </w:pPr>
      <w:r>
        <w:t>- расчет осветительной установки (светотехнический расчет);</w:t>
      </w:r>
    </w:p>
    <w:p w:rsidR="00000000" w:rsidRDefault="003A3FCA">
      <w:pPr>
        <w:ind w:firstLine="426"/>
        <w:jc w:val="both"/>
      </w:pPr>
      <w:r>
        <w:t>- разработку электротехнической части проекта (системы питания, системы управления).</w:t>
      </w:r>
    </w:p>
    <w:p w:rsidR="00000000" w:rsidRDefault="003A3FCA">
      <w:pPr>
        <w:ind w:firstLine="426"/>
        <w:jc w:val="both"/>
      </w:pPr>
      <w:r>
        <w:t>Выбор системы освещения, источников света, типа и мощности осветительных приборов, схемы и</w:t>
      </w:r>
      <w:r>
        <w:t xml:space="preserve"> координат их расположения должен обеспечивать необходимые параметры освещения для заданных условий и должен осуществляться на основании технико-экономического анализа.</w:t>
      </w:r>
    </w:p>
    <w:p w:rsidR="00000000" w:rsidRDefault="003A3FCA">
      <w:pPr>
        <w:ind w:firstLine="426"/>
        <w:jc w:val="both"/>
      </w:pPr>
      <w:r>
        <w:t xml:space="preserve">4.2 При проектировании наружного электрического освещения следует выполнять требования </w:t>
      </w:r>
      <w:r>
        <w:t>к светотехнической и электротехнической части установок наружного освещения СН РК 4.04-04, СН РК 2.04-01 и «Правил устройства электроустановок».</w:t>
      </w:r>
    </w:p>
    <w:p w:rsidR="00000000" w:rsidRDefault="003A3FCA">
      <w:pPr>
        <w:ind w:firstLine="426"/>
        <w:jc w:val="both"/>
      </w:pPr>
      <w:r>
        <w:t>4.3 При проектировании наружного электрического освещения следует использовать следующие материалы:</w:t>
      </w:r>
    </w:p>
    <w:p w:rsidR="00000000" w:rsidRDefault="003A3FCA">
      <w:pPr>
        <w:ind w:firstLine="426"/>
        <w:jc w:val="both"/>
      </w:pPr>
      <w:r>
        <w:t>- разбивочн</w:t>
      </w:r>
      <w:r>
        <w:t>ый план красных линий с указанием размеров улиц, дорог, площадей в масштабе 1:500; на нем должны быть нанесены все здания, наземные и подземные коммуникации и сооружения, элементы обустройства, малые архитектурные формы, остановки и стоянки транспорта, под</w:t>
      </w:r>
      <w:r>
        <w:t>земные пешеходные переходы, элементы организации движения транспорта и пешеходов, а также выделены зоны массового отдыха;</w:t>
      </w:r>
    </w:p>
    <w:p w:rsidR="00000000" w:rsidRDefault="003A3FCA">
      <w:pPr>
        <w:ind w:firstLine="426"/>
        <w:jc w:val="both"/>
      </w:pPr>
      <w:r>
        <w:t>- поперечный профиль улиц, дорог, площадей со всеми инженерными коммуникациями и зелеными насаждениями;</w:t>
      </w:r>
    </w:p>
    <w:p w:rsidR="00000000" w:rsidRDefault="003A3FCA">
      <w:pPr>
        <w:ind w:firstLine="426"/>
        <w:jc w:val="both"/>
      </w:pPr>
      <w:r>
        <w:t>- расчетную для конкретных ули</w:t>
      </w:r>
      <w:r>
        <w:t>ц, дорог, площадей интенсивность движения транспорта по направлениям (количество единиц в час) на ближайшие пять или более лет и категорийность улиц в общегородском районном масштабе;</w:t>
      </w:r>
    </w:p>
    <w:p w:rsidR="00000000" w:rsidRDefault="003A3FCA">
      <w:pPr>
        <w:ind w:firstLine="426"/>
        <w:jc w:val="both"/>
      </w:pPr>
      <w:r>
        <w:t>- проект озеленения улиц.</w:t>
      </w:r>
    </w:p>
    <w:p w:rsidR="00000000" w:rsidRDefault="003A3FCA">
      <w:pPr>
        <w:ind w:firstLine="426"/>
        <w:jc w:val="both"/>
      </w:pPr>
      <w:r>
        <w:t>4.4 Для проекта расширения или реконструкции с</w:t>
      </w:r>
      <w:r>
        <w:t>уществующих сетей наружного электрического освещения в дополнение к исходным материалам, указанным в 4.3, следует использовать следующие исходные материалы:</w:t>
      </w:r>
    </w:p>
    <w:p w:rsidR="00000000" w:rsidRDefault="003A3FCA">
      <w:pPr>
        <w:ind w:firstLine="426"/>
        <w:jc w:val="both"/>
      </w:pPr>
      <w:r>
        <w:t>- материалы генплана города и проектов детальной планировки отдельных районов (микрорайонов) с выделением новых потребителей, принимая во внимание перспективу развития на ближайшие 5-10 лет;</w:t>
      </w:r>
    </w:p>
    <w:p w:rsidR="00000000" w:rsidRDefault="003A3FCA">
      <w:pPr>
        <w:ind w:firstLine="426"/>
        <w:jc w:val="both"/>
      </w:pPr>
      <w:r>
        <w:t>- характеристику существующих электрических сетей общего пользова</w:t>
      </w:r>
      <w:r>
        <w:t>ния;</w:t>
      </w:r>
    </w:p>
    <w:p w:rsidR="00000000" w:rsidRDefault="003A3FCA">
      <w:pPr>
        <w:ind w:firstLine="426"/>
        <w:jc w:val="both"/>
      </w:pPr>
      <w:r>
        <w:t>- схему сети уличного освещения на плане города; на ней должны быть обозначены пункты питания, конфигурация сети, марки и количество проводов и кабелей;</w:t>
      </w:r>
    </w:p>
    <w:p w:rsidR="00000000" w:rsidRDefault="003A3FCA">
      <w:pPr>
        <w:ind w:firstLine="426"/>
        <w:jc w:val="both"/>
      </w:pPr>
      <w:r>
        <w:t>- таблицы с параметрами установленных светильников наружного электрического освещения; технические</w:t>
      </w:r>
      <w:r>
        <w:t xml:space="preserve"> характеристики сети наружного электрического освещения, ее эксплуатационное состояние, уровни напряжения и т.д.;</w:t>
      </w:r>
    </w:p>
    <w:p w:rsidR="00000000" w:rsidRDefault="003A3FCA">
      <w:pPr>
        <w:ind w:firstLine="426"/>
        <w:jc w:val="both"/>
      </w:pPr>
      <w:r>
        <w:t>- пункты питания, управления и контроля наружным электрическим освещением, тип устройства телеуправления;</w:t>
      </w:r>
    </w:p>
    <w:p w:rsidR="00000000" w:rsidRDefault="003A3FCA">
      <w:pPr>
        <w:ind w:firstLine="426"/>
        <w:jc w:val="both"/>
      </w:pPr>
      <w:r>
        <w:t>- наличие, характеристику и состояни</w:t>
      </w:r>
      <w:r>
        <w:t>е производственной базы, оснащенность специальным транспортом эксплуатанта системы наружного электрического освещения.</w:t>
      </w:r>
    </w:p>
    <w:p w:rsidR="00000000" w:rsidRDefault="003A3FCA">
      <w:pPr>
        <w:ind w:firstLine="426"/>
        <w:jc w:val="both"/>
      </w:pPr>
      <w:r>
        <w:t>4.5 При разработке проекта наружного электрического освещения следует учитывать:</w:t>
      </w:r>
    </w:p>
    <w:p w:rsidR="00000000" w:rsidRDefault="003A3FCA">
      <w:pPr>
        <w:ind w:firstLine="426"/>
        <w:jc w:val="both"/>
      </w:pPr>
      <w:r>
        <w:t>- площадь освещаемой поверхности;</w:t>
      </w:r>
    </w:p>
    <w:p w:rsidR="00000000" w:rsidRDefault="003A3FCA">
      <w:pPr>
        <w:ind w:firstLine="426"/>
        <w:jc w:val="both"/>
      </w:pPr>
      <w:r>
        <w:t>- сложность конфигурац</w:t>
      </w:r>
      <w:r>
        <w:t>ии освещаемой поверхности;</w:t>
      </w:r>
    </w:p>
    <w:p w:rsidR="00000000" w:rsidRDefault="003A3FCA">
      <w:pPr>
        <w:ind w:firstLine="426"/>
        <w:jc w:val="both"/>
      </w:pPr>
      <w:r>
        <w:t>- тип отражающей поверхности;</w:t>
      </w:r>
    </w:p>
    <w:p w:rsidR="00000000" w:rsidRDefault="003A3FCA">
      <w:pPr>
        <w:ind w:firstLine="426"/>
        <w:jc w:val="both"/>
      </w:pPr>
      <w:r>
        <w:t>- наличие труднодоступных для световых потоков участков;</w:t>
      </w:r>
    </w:p>
    <w:p w:rsidR="00000000" w:rsidRDefault="003A3FCA">
      <w:pPr>
        <w:ind w:firstLine="426"/>
        <w:jc w:val="both"/>
      </w:pPr>
      <w:r>
        <w:t>- ветровые и климатические нагрузки;</w:t>
      </w:r>
    </w:p>
    <w:p w:rsidR="00000000" w:rsidRDefault="003A3FCA">
      <w:pPr>
        <w:ind w:firstLine="426"/>
        <w:jc w:val="both"/>
      </w:pPr>
      <w:r>
        <w:t>- возможность надежного закрепления опор (тросов) и осветительных приборов на них;</w:t>
      </w:r>
    </w:p>
    <w:p w:rsidR="00000000" w:rsidRDefault="003A3FCA">
      <w:pPr>
        <w:ind w:firstLine="426"/>
        <w:jc w:val="both"/>
      </w:pPr>
      <w:r>
        <w:t>- доступность техничес</w:t>
      </w:r>
      <w:r>
        <w:t>кого обслуживания;</w:t>
      </w:r>
    </w:p>
    <w:p w:rsidR="00000000" w:rsidRDefault="003A3FCA">
      <w:pPr>
        <w:ind w:firstLine="426"/>
        <w:jc w:val="both"/>
      </w:pPr>
      <w:r>
        <w:t>- необходимость качественной цветопередачи или отсутствие таковой;</w:t>
      </w:r>
    </w:p>
    <w:p w:rsidR="00000000" w:rsidRDefault="003A3FCA">
      <w:pPr>
        <w:ind w:firstLine="426"/>
        <w:jc w:val="both"/>
      </w:pPr>
      <w:r>
        <w:t>- световой календарь включения и выключения наружного электрического освещения;</w:t>
      </w:r>
    </w:p>
    <w:p w:rsidR="00000000" w:rsidRDefault="003A3FCA">
      <w:pPr>
        <w:ind w:firstLine="426"/>
        <w:jc w:val="both"/>
      </w:pPr>
      <w:r>
        <w:t>- потребности энергосбережения.</w:t>
      </w:r>
    </w:p>
    <w:p w:rsidR="00000000" w:rsidRDefault="003A3FCA">
      <w:pPr>
        <w:ind w:firstLine="426"/>
        <w:jc w:val="both"/>
      </w:pPr>
      <w:r>
        <w:lastRenderedPageBreak/>
        <w:t>4.6 Включение и выключение наружного электрического освеще</w:t>
      </w:r>
      <w:r>
        <w:t xml:space="preserve">ния должно осуществляться при достижении заданных параметров естественной освещенности согласно </w:t>
      </w:r>
      <w:hyperlink r:id="rId34" w:history="1">
        <w:r>
          <w:rPr>
            <w:rStyle w:val="a3"/>
          </w:rPr>
          <w:t>СН РК 4.04-04-2013</w:t>
        </w:r>
      </w:hyperlink>
      <w:r>
        <w:t xml:space="preserve"> в соответствии с утвержденным световым календарем</w:t>
      </w:r>
    </w:p>
    <w:p w:rsidR="00000000" w:rsidRDefault="003A3FCA">
      <w:pPr>
        <w:ind w:firstLine="426"/>
        <w:jc w:val="both"/>
      </w:pPr>
      <w:r>
        <w:t>включения и выключения нар</w:t>
      </w:r>
      <w:r>
        <w:t>ужного электрического освещения.</w:t>
      </w:r>
    </w:p>
    <w:p w:rsidR="00000000" w:rsidRDefault="003A3FCA">
      <w:pPr>
        <w:ind w:firstLine="426"/>
        <w:jc w:val="both"/>
      </w:pPr>
      <w:r>
        <w:t>ПРИМЕЧАНИЕ. Управление включением и выключением установок архитектурного освещения и световой рекламы допускается осуществлять по отдельным программам.</w:t>
      </w:r>
    </w:p>
    <w:p w:rsidR="00000000" w:rsidRDefault="003A3FCA">
      <w:pPr>
        <w:ind w:firstLine="426"/>
        <w:jc w:val="both"/>
      </w:pPr>
      <w:r>
        <w:t>Световой календарь включения и выключения наружного электрического осве</w:t>
      </w:r>
      <w:r>
        <w:t>щения следует разрабатывать с учетом времени года и особенностей местности. Пример методики определения времени включения и выключения наружного освещения в населенных пунктах содержится в соответствующих нормативах.</w:t>
      </w:r>
    </w:p>
    <w:p w:rsidR="00000000" w:rsidRDefault="003A3FCA">
      <w:pPr>
        <w:ind w:firstLine="426"/>
        <w:jc w:val="both"/>
      </w:pPr>
      <w:r>
        <w:t>4.7 Проектирование наружного электричес</w:t>
      </w:r>
      <w:r>
        <w:t>кого освещения населенных пунктов и территорий отдельных объектов хозяйствования, для которых утвержденным перечнем инженерно-технических мероприятий Гражданской обороны предусмотрена световая маскировка, следует осуществлять с учетом потребностей Гражданс</w:t>
      </w:r>
      <w:r>
        <w:t xml:space="preserve">кой обороны в соответствии с </w:t>
      </w:r>
      <w:hyperlink r:id="rId35" w:anchor="sub_id=1" w:history="1">
        <w:r>
          <w:rPr>
            <w:rStyle w:val="a3"/>
          </w:rPr>
          <w:t>приложением А</w:t>
        </w:r>
      </w:hyperlink>
      <w:r>
        <w:t>.</w:t>
      </w:r>
    </w:p>
    <w:p w:rsidR="00000000" w:rsidRDefault="003A3FCA">
      <w:pPr>
        <w:ind w:firstLine="426"/>
        <w:jc w:val="both"/>
      </w:pPr>
      <w:r>
        <w:t>4.8 Для наружного электрического освещения населенных пунктов применяют осветительные установки со светильниками для наружного освеще</w:t>
      </w:r>
      <w:r>
        <w:t>ния и прожекторами. Выбор способа освещения должен основываться на технико-экономических сопоставлениях. Как правило, для освещения открытых площадей в виде узких полос (в том числе дорог и улиц) следует использовать светильники, а для освещения широких пл</w:t>
      </w:r>
      <w:r>
        <w:t>ощадей - прожекторы. Прожекторы, как правило, используют во всех случаях, когда:</w:t>
      </w:r>
    </w:p>
    <w:p w:rsidR="00000000" w:rsidRDefault="003A3FCA">
      <w:pPr>
        <w:ind w:firstLine="426"/>
        <w:jc w:val="both"/>
      </w:pPr>
      <w:r>
        <w:t>- при освещении открытых пространств площадью более 5000 м</w:t>
      </w:r>
      <w:r>
        <w:rPr>
          <w:vertAlign w:val="superscript"/>
        </w:rPr>
        <w:t>2</w:t>
      </w:r>
      <w:r>
        <w:t xml:space="preserve"> невозможно разместить светильники над освещаемой поверхностью;</w:t>
      </w:r>
    </w:p>
    <w:p w:rsidR="00000000" w:rsidRDefault="003A3FCA">
      <w:pPr>
        <w:ind w:firstLine="426"/>
        <w:jc w:val="both"/>
      </w:pPr>
      <w:r>
        <w:t>- нежелательна установка опор осветительных установо</w:t>
      </w:r>
      <w:r>
        <w:t>к на территориях больших площадей.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jc w:val="center"/>
      </w:pPr>
      <w:r>
        <w:rPr>
          <w:rStyle w:val="s1"/>
        </w:rPr>
        <w:t xml:space="preserve">5. ПРОЕКТИРОВАНИЕ УСТАНОВОК НАРУЖНОГО </w:t>
      </w:r>
      <w:r>
        <w:rPr>
          <w:rStyle w:val="s1"/>
        </w:rPr>
        <w:br/>
        <w:t xml:space="preserve">ЭЛЕКТРИЧЕСКОГО ОСВЕЩЕНИЯ УЛИЧНО-ДОРОЖНОЙ </w:t>
      </w:r>
      <w:r>
        <w:rPr>
          <w:rStyle w:val="s1"/>
        </w:rPr>
        <w:br/>
        <w:t>СЕТИ И ПЕШЕХОДНЫХ ПРОСТРАНСТВ</w:t>
      </w:r>
    </w:p>
    <w:p w:rsidR="00000000" w:rsidRDefault="003A3FCA">
      <w:pPr>
        <w:ind w:firstLine="426"/>
        <w:jc w:val="center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t>5.1 Размещение светильников наружного электрического освещения вдоль улиц и дорог следует выбирать в зависимости от конфигурации проезжей части и схемы организации движения следующим образом:</w:t>
      </w:r>
    </w:p>
    <w:p w:rsidR="00000000" w:rsidRDefault="003A3FCA">
      <w:pPr>
        <w:ind w:firstLine="426"/>
        <w:jc w:val="both"/>
      </w:pPr>
      <w:r>
        <w:t>а)  двухрядное прямоугольное по оси улицы (на разделительной пол</w:t>
      </w:r>
      <w:r>
        <w:t>осе): используется вдоль улиц и дорог с двусторонним движением с разделительной полосой и вдоль автомагистралей;</w:t>
      </w:r>
    </w:p>
    <w:p w:rsidR="00000000" w:rsidRDefault="003A3FCA">
      <w:pPr>
        <w:ind w:firstLine="426"/>
        <w:jc w:val="both"/>
      </w:pPr>
      <w:r>
        <w:t>б)  двухрядное прямоугольное: используется вдоль широких улиц и дорог с двусторонним движением с разделительной полосой, когда двухрядное прямо</w:t>
      </w:r>
      <w:r>
        <w:t>угольное размещение по оси улицы невозможно из-за узости разделительной полосы, грунтовых условий или ограниченных возможностей для обслуживания светильников;</w:t>
      </w:r>
    </w:p>
    <w:p w:rsidR="00000000" w:rsidRDefault="003A3FCA">
      <w:pPr>
        <w:ind w:firstLine="426"/>
        <w:jc w:val="both"/>
      </w:pPr>
      <w:r>
        <w:t>в)  двухрядное в шахматном порядке: как правило, используется вдоль дорог грузового движения, про</w:t>
      </w:r>
      <w:r>
        <w:t>ездов в жилых зонах и второстепенных дорог;</w:t>
      </w:r>
    </w:p>
    <w:p w:rsidR="00000000" w:rsidRDefault="003A3FCA">
      <w:pPr>
        <w:ind w:firstLine="426"/>
        <w:jc w:val="both"/>
      </w:pPr>
      <w:r>
        <w:t>г)  одностороннее: используется вдоль узких улиц и дорог; вдоль проезжих частей улиц и дорог с двусторонним движением с очень широкой разделительной полосой; вдоль криволинейных хордовых дорог и подъездов и съезд</w:t>
      </w:r>
      <w:r>
        <w:t>ов надземных дорог;</w:t>
      </w:r>
    </w:p>
    <w:p w:rsidR="00000000" w:rsidRDefault="003A3FCA">
      <w:pPr>
        <w:ind w:firstLine="426"/>
        <w:jc w:val="both"/>
      </w:pPr>
      <w:r>
        <w:t>д)  комбинированное (двухрядное прямоугольное по оси улицы и двухрядное прямоугольное): используется вдоль широких проезжих частей и в зонах слияния и разделения, когда взятые по отдельности указанные схемы размещения недостаточны;</w:t>
      </w:r>
    </w:p>
    <w:p w:rsidR="00000000" w:rsidRDefault="003A3FCA">
      <w:pPr>
        <w:ind w:firstLine="426"/>
        <w:jc w:val="both"/>
      </w:pPr>
      <w:r>
        <w:t xml:space="preserve">е)  </w:t>
      </w:r>
      <w:r>
        <w:t xml:space="preserve">осевое продольное: используется вдоль очень широких проезжих частей и является альтернативой двухрядному прямоугольному по оси улицы и двухрядному </w:t>
      </w:r>
      <w:r>
        <w:lastRenderedPageBreak/>
        <w:t>прямоугольному. Используемые светильники характеризуются распределением силы света с сильной поперечной компо</w:t>
      </w:r>
      <w:r>
        <w:t>нентой и:</w:t>
      </w:r>
    </w:p>
    <w:p w:rsidR="00000000" w:rsidRDefault="003A3FCA">
      <w:pPr>
        <w:ind w:firstLine="426"/>
        <w:jc w:val="both"/>
      </w:pPr>
      <w:r>
        <w:t>- либо подвешиваются на продольно-несущем тросе;</w:t>
      </w:r>
    </w:p>
    <w:p w:rsidR="00000000" w:rsidRDefault="003A3FCA">
      <w:pPr>
        <w:ind w:firstLine="426"/>
        <w:jc w:val="both"/>
      </w:pPr>
      <w:r>
        <w:t>- либо устанавливаются над разделительной полосой на двусторонних опорах, кронштейны на которых параллельны оси проезжей части;</w:t>
      </w:r>
    </w:p>
    <w:p w:rsidR="00000000" w:rsidRDefault="003A3FCA">
      <w:pPr>
        <w:ind w:firstLine="426"/>
        <w:jc w:val="both"/>
      </w:pPr>
      <w:r>
        <w:t>ж) на высокомачтовых опорах: используется, когда конфигурация проезже</w:t>
      </w:r>
      <w:r>
        <w:t>й части, линии прямой видимости и ограниченные возможности для монтажа не позволяют использовать обычные опоры наружного освещения, например, на крупных пересечениях, многоуровневых транспортных развязках и пунктах сбора платы за проезд по платным дорогам.</w:t>
      </w:r>
    </w:p>
    <w:p w:rsidR="00000000" w:rsidRDefault="003A3FCA">
      <w:pPr>
        <w:ind w:firstLine="426"/>
        <w:jc w:val="both"/>
      </w:pPr>
      <w:r>
        <w:t>Схематическое изображение указанных схем размещения светильников приведено на рисунке 1.</w:t>
      </w:r>
    </w:p>
    <w:p w:rsidR="00000000" w:rsidRDefault="003A3FCA">
      <w:pPr>
        <w:ind w:firstLine="426"/>
        <w:jc w:val="both"/>
      </w:pPr>
      <w:r>
        <w:t>5.2 Вдоль улиц и дорог с односторонним движением используют одну или несколько из следующих схем размещения светильников:</w:t>
      </w:r>
    </w:p>
    <w:p w:rsidR="00000000" w:rsidRDefault="003A3FCA">
      <w:pPr>
        <w:ind w:firstLine="426"/>
        <w:jc w:val="both"/>
      </w:pPr>
      <w:r>
        <w:t>- двухрядную в шахматном порядке;</w:t>
      </w:r>
    </w:p>
    <w:p w:rsidR="00000000" w:rsidRDefault="003A3FCA">
      <w:pPr>
        <w:ind w:firstLine="426"/>
        <w:jc w:val="both"/>
      </w:pPr>
      <w:r>
        <w:t>- двухрядн</w:t>
      </w:r>
      <w:r>
        <w:t>ую прямоугольную;</w:t>
      </w:r>
    </w:p>
    <w:p w:rsidR="00000000" w:rsidRDefault="003A3FCA">
      <w:pPr>
        <w:ind w:firstLine="426"/>
        <w:jc w:val="both"/>
      </w:pPr>
      <w:r>
        <w:t>- одностороннюю.</w:t>
      </w:r>
    </w:p>
    <w:p w:rsidR="00000000" w:rsidRDefault="003A3FCA">
      <w:pPr>
        <w:ind w:firstLine="426"/>
        <w:jc w:val="both"/>
      </w:pPr>
      <w:r>
        <w:t>5.3 Когда полосы противоположного движения на улицах и дорогах с двухсторонним движением разделены широкой разделительной полосой, полосы движения для целей освещения следует рассматривать отдельно друг от друга. При небо</w:t>
      </w:r>
      <w:r>
        <w:t>льшой ширине улицы или дороги с двухсторонним движением допускается проектировать освещение улицы (дороги) по схемам для улицы с односторонним движением.</w:t>
      </w:r>
    </w:p>
    <w:p w:rsidR="00000000" w:rsidRDefault="003A3FCA">
      <w:pPr>
        <w:ind w:firstLine="426"/>
        <w:jc w:val="both"/>
      </w:pPr>
      <w:r>
        <w:t>5.4 На закруглениях улиц и дорог светильники при их одностороннем расположении должны, как правило, ра</w:t>
      </w:r>
      <w:r>
        <w:t>змещаться по внешней стороне дороги. При невозможности размещения по внешней стороне закругления следует располагать опоры при их одностороннем расположении по внутренней стороне закругления.</w:t>
      </w:r>
    </w:p>
    <w:p w:rsidR="00000000" w:rsidRDefault="003A3FCA">
      <w:pPr>
        <w:ind w:firstLine="426"/>
        <w:jc w:val="both"/>
      </w:pPr>
      <w:r>
        <w:t>5.5 Размещение и вид установок наружного освещения вдоль надземн</w:t>
      </w:r>
      <w:r>
        <w:t>ых дорог при наличии параллельных им наземных дорог должны выбираться в зависимости от типа конструкции надземной дороги.</w:t>
      </w:r>
    </w:p>
    <w:p w:rsidR="00000000" w:rsidRDefault="003A3FCA">
      <w:pPr>
        <w:ind w:firstLine="426"/>
        <w:jc w:val="both"/>
      </w:pPr>
      <w:r>
        <w:t>5.6 В случае надземной дороги, проложенной по насыпи, следует выбирать одну из следующих схем организации наружного электрического осв</w:t>
      </w:r>
      <w:r>
        <w:t>ещения на основе технико-экономического анализа:</w:t>
      </w:r>
    </w:p>
    <w:p w:rsidR="00000000" w:rsidRDefault="003A3FCA">
      <w:pPr>
        <w:ind w:firstLine="426"/>
        <w:jc w:val="both"/>
      </w:pPr>
      <w:r>
        <w:t>- индивидуальное освещение каждой из дорог - при условии обеспечения доступа для обслуживания и исключения конфликтующих световых потоков;</w:t>
      </w:r>
    </w:p>
    <w:p w:rsidR="00000000" w:rsidRDefault="003A3FCA">
      <w:pPr>
        <w:ind w:firstLine="426"/>
        <w:jc w:val="both"/>
      </w:pPr>
      <w:r>
        <w:t>- установку опор в пространстве между дорогами - при условии использ</w:t>
      </w:r>
      <w:r>
        <w:t>ования опор достаточной высоты для удовлетворения требований к минимальной высоте установки светильников и обеспечиваемым уровням освещенности;</w:t>
      </w:r>
    </w:p>
    <w:p w:rsidR="00000000" w:rsidRDefault="003A3FCA">
      <w:pPr>
        <w:ind w:firstLine="426"/>
        <w:jc w:val="both"/>
      </w:pPr>
      <w:r>
        <w:t>- установку опор на внешней стороне наземной дороги в случаях крутых насыпей или устройства подпорных стен, искл</w:t>
      </w:r>
      <w:r>
        <w:t>ючающих возможность установки опор в пространстве между дорогами;</w:t>
      </w:r>
    </w:p>
    <w:p w:rsidR="00000000" w:rsidRDefault="003A3FCA">
      <w:pPr>
        <w:ind w:firstLine="426"/>
        <w:jc w:val="both"/>
      </w:pPr>
      <w:r>
        <w:t>- использование светильников на опорах, установленных на уровне надземной дороги. При недостаточности светильников освещения надземной дороги для освещения обеих дорог, дополнительные светил</w:t>
      </w:r>
      <w:r>
        <w:t>ьники должны устанавливаться на опорах освещения надземной дороги на соответствующей высоте для освещения наземной дороги.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543550" cy="7839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5.7 В случае надземной дороги, проложенной по эстакаде и имеющей параллельные ей наземные дороги, проходящие близко от и (или) частично под эстакадой, допускается обеспечивать освещение наземной дороги с помощью установки светильников под эстакадой при усл</w:t>
      </w:r>
      <w:r>
        <w:t>овии:</w:t>
      </w:r>
    </w:p>
    <w:p w:rsidR="00000000" w:rsidRDefault="003A3FCA">
      <w:pPr>
        <w:ind w:firstLine="426"/>
        <w:jc w:val="both"/>
      </w:pPr>
      <w:r>
        <w:t>- соблюдения требований к минимальной высоте установки светильников над проезжей частью;</w:t>
      </w:r>
    </w:p>
    <w:p w:rsidR="00000000" w:rsidRDefault="003A3FCA">
      <w:pPr>
        <w:ind w:firstLine="426"/>
        <w:jc w:val="both"/>
      </w:pPr>
      <w:r>
        <w:t>- исключения затенения от опор и балок эстакады.</w:t>
      </w:r>
    </w:p>
    <w:p w:rsidR="00000000" w:rsidRDefault="003A3FCA">
      <w:pPr>
        <w:ind w:firstLine="426"/>
        <w:jc w:val="both"/>
      </w:pPr>
      <w:r>
        <w:lastRenderedPageBreak/>
        <w:t>Освещение надземной дороги, как правило, следует организовывать с помощью светильников, расположенных вдоль назе</w:t>
      </w:r>
      <w:r>
        <w:t>мной дороги. При недостаточности или невозможности такого освещения, следует размещать светильники также на эстакаде.</w:t>
      </w:r>
    </w:p>
    <w:p w:rsidR="00000000" w:rsidRDefault="003A3FCA">
      <w:pPr>
        <w:ind w:firstLine="426"/>
        <w:jc w:val="both"/>
      </w:pPr>
      <w:r>
        <w:t>5.8 Линия установки опор наружного электрического освещения, устанавливаемых вдоль улиц и дорог, должна повторять конфигурацию проезжей ча</w:t>
      </w:r>
      <w:r>
        <w:t>сти. Любые изменения схемы установки опор должны быть визуально связаны с изменениями конфигурации проезжей части и минимальное расстояние от проезжей части должно быть не менее данных таблицы 1.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center"/>
      </w:pPr>
      <w:r>
        <w:rPr>
          <w:b/>
          <w:bCs/>
        </w:rPr>
        <w:t xml:space="preserve">Таблица 1 - Минимальное горизонтальное расстояние от края </w:t>
      </w:r>
      <w:r>
        <w:rPr>
          <w:b/>
          <w:bCs/>
        </w:rPr>
        <w:t xml:space="preserve">проезжей части </w:t>
      </w:r>
    </w:p>
    <w:p w:rsidR="00000000" w:rsidRDefault="003A3FCA">
      <w:pPr>
        <w:ind w:firstLine="426"/>
        <w:jc w:val="center"/>
      </w:pPr>
      <w:r>
        <w:rPr>
          <w:b/>
          <w:bCs/>
        </w:rPr>
        <w:t>до наружной поверхности опоры наружного электрического освещения</w:t>
      </w:r>
    </w:p>
    <w:p w:rsidR="00000000" w:rsidRDefault="003A3FCA">
      <w:pPr>
        <w:ind w:firstLine="426"/>
        <w:jc w:val="both"/>
      </w:pPr>
      <w:r>
        <w:t> </w:t>
      </w:r>
    </w:p>
    <w:tbl>
      <w:tblPr>
        <w:tblW w:w="375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6"/>
        <w:gridCol w:w="4580"/>
      </w:tblGrid>
      <w:tr w:rsidR="00000000">
        <w:trPr>
          <w:trHeight w:val="20"/>
        </w:trPr>
        <w:tc>
          <w:tcPr>
            <w:tcW w:w="17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Расчетная скорость движения по проезжей части, км/ч</w:t>
            </w:r>
          </w:p>
        </w:tc>
        <w:tc>
          <w:tcPr>
            <w:tcW w:w="32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t>Минимальное горизонтальное расстояние от края</w:t>
            </w:r>
          </w:p>
          <w:p w:rsidR="00000000" w:rsidRDefault="003A3FCA">
            <w:pPr>
              <w:spacing w:line="276" w:lineRule="auto"/>
              <w:jc w:val="center"/>
            </w:pPr>
            <w:r>
              <w:t>проезжей части до наружной поверхности опоры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наружного электрического освещ</w:t>
            </w:r>
            <w:r>
              <w:t>ения, м</w:t>
            </w:r>
          </w:p>
        </w:tc>
      </w:tr>
      <w:tr w:rsidR="00000000">
        <w:trPr>
          <w:trHeight w:val="20"/>
        </w:trPr>
        <w:tc>
          <w:tcPr>
            <w:tcW w:w="1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1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3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7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120</w:t>
            </w:r>
          </w:p>
        </w:tc>
        <w:tc>
          <w:tcPr>
            <w:tcW w:w="3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</w:tr>
    </w:tbl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При невозможности соблюдения минимальных расстояний, указанных в таблице 1, по причине стесненности пространства допускается уменьшать указанное расстояние с одновременным принятием дополнительных мер по защите опор от повреждения в случае наезда транспорт</w:t>
      </w:r>
      <w:r>
        <w:t>ного средства.</w:t>
      </w:r>
    </w:p>
    <w:p w:rsidR="00000000" w:rsidRDefault="003A3FCA">
      <w:pPr>
        <w:ind w:firstLine="426"/>
        <w:jc w:val="both"/>
      </w:pPr>
      <w:r>
        <w:t xml:space="preserve">5.9 Типичные схемы размещения светильников наружного освещения на одноуровневых пересечениях разных типов приведены в </w:t>
      </w:r>
      <w:hyperlink r:id="rId38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3A3FCA">
      <w:pPr>
        <w:ind w:firstLine="426"/>
        <w:jc w:val="both"/>
      </w:pPr>
      <w:r>
        <w:t xml:space="preserve">5.10 На сложных пересечениях, </w:t>
      </w:r>
      <w:r>
        <w:t>особенно пересечениях криволинейных (в горизонтальном или вертикальном плане) дорог и пересечениях с изменением радиусов закруглений, следует избегать использования кронштейнов со сложными конфигурациями. Рекомендуется использовать прямолинейные кронштейны</w:t>
      </w:r>
      <w:r>
        <w:t xml:space="preserve"> с равномерным подъемом, меньшее количество опор с многорожковыми короткими кронштейнами, высокомачтовое размещение светильников или другие технические решения для устранения проблем конфликтующих световых потоков и ослепления.</w:t>
      </w:r>
    </w:p>
    <w:p w:rsidR="00000000" w:rsidRDefault="003A3FCA">
      <w:pPr>
        <w:ind w:firstLine="426"/>
        <w:jc w:val="both"/>
      </w:pPr>
      <w:r>
        <w:t>5.11 Кольцевые пересечения с</w:t>
      </w:r>
      <w:r>
        <w:t xml:space="preserve"> диаметром центрального островка менее 20 м и шириной кольцевой проезжей части менее 9 м следует освещать, как правило, устанавливая одну опору освещения с несколькими светильниками в центре островка.</w:t>
      </w:r>
    </w:p>
    <w:p w:rsidR="00000000" w:rsidRDefault="003A3FCA">
      <w:pPr>
        <w:ind w:firstLine="426"/>
        <w:jc w:val="both"/>
      </w:pPr>
      <w:r>
        <w:t>При больших размерах островка или ширины кольцевой прое</w:t>
      </w:r>
      <w:r>
        <w:t xml:space="preserve">зжей части следует, как правило, устанавливать светильники по периметру пересечения. При ширине кольцевой проезжей части свыше 15 м допускается устанавливать дополнительные опоры освещения на центральном разделительном островке в дополнение к периферийным </w:t>
      </w:r>
      <w:r>
        <w:t>светильникам для обеспечения равномерности освещения.</w:t>
      </w:r>
    </w:p>
    <w:p w:rsidR="00000000" w:rsidRDefault="003A3FCA">
      <w:pPr>
        <w:ind w:firstLine="426"/>
        <w:jc w:val="both"/>
      </w:pPr>
      <w:r>
        <w:t>При размещении опор освещения на центральном островке следует принимать меры по исключению или смягчению последствий возможного столкновения автотранспорта с опорами освещения: устанавливать защитные ба</w:t>
      </w:r>
      <w:r>
        <w:t>рьеры или использовать легко разрушаемые или энергопоглощающие опоры.</w:t>
      </w:r>
    </w:p>
    <w:p w:rsidR="00000000" w:rsidRDefault="003A3FCA">
      <w:pPr>
        <w:ind w:firstLine="426"/>
        <w:jc w:val="both"/>
      </w:pPr>
      <w:r>
        <w:t>На кольцевых пересечениях опоры освещения не должны размещаться на центральном разделительном островке напротив въездов на пересечение.</w:t>
      </w:r>
    </w:p>
    <w:p w:rsidR="00000000" w:rsidRDefault="003A3FCA">
      <w:pPr>
        <w:ind w:firstLine="426"/>
        <w:jc w:val="both"/>
      </w:pPr>
      <w:r>
        <w:lastRenderedPageBreak/>
        <w:t>5.12 Схему размещения светильников следует разраба</w:t>
      </w:r>
      <w:r>
        <w:t>тывать, начиная с имеющихся конфликтных площадей, после чего следует продолжать разрабатывать схему для участков дороги, прилегающих к конфликтным площадям.</w:t>
      </w:r>
    </w:p>
    <w:p w:rsidR="00000000" w:rsidRDefault="003A3FCA">
      <w:pPr>
        <w:ind w:firstLine="426"/>
        <w:jc w:val="both"/>
      </w:pPr>
      <w:r>
        <w:t>5.13 Зона островков безопасности и разделительных островков на пересечениях всегда должна составлят</w:t>
      </w:r>
      <w:r>
        <w:t>ь часть конфликтной площади при расчете. Центральные островки кольцевых мини-пересечений всегда должны включаться в конфликтную площадь независимо от того, обозначены ли они только дорожной разметкой, куполом или бордюрным камнем.</w:t>
      </w:r>
    </w:p>
    <w:p w:rsidR="00000000" w:rsidRDefault="003A3FCA">
      <w:pPr>
        <w:ind w:firstLine="426"/>
        <w:jc w:val="both"/>
      </w:pPr>
      <w:r>
        <w:t>5.14 Метод освещения зон,</w:t>
      </w:r>
      <w:r>
        <w:t xml:space="preserve"> прилегающих к конфликтной площади, следует выбирать следующим образом:</w:t>
      </w:r>
    </w:p>
    <w:p w:rsidR="00000000" w:rsidRDefault="003A3FCA">
      <w:pPr>
        <w:ind w:firstLine="426"/>
        <w:jc w:val="both"/>
      </w:pPr>
      <w:r>
        <w:t>- в отсутствие прилегающих к конфликтной площади тротуаров или велодорожек, не требуется принимать специальные меры для освещения зон вокруг конфликтной площади;</w:t>
      </w:r>
    </w:p>
    <w:p w:rsidR="00000000" w:rsidRDefault="003A3FCA">
      <w:pPr>
        <w:ind w:firstLine="426"/>
        <w:jc w:val="both"/>
      </w:pPr>
      <w:r>
        <w:t>- при незначительном д</w:t>
      </w:r>
      <w:r>
        <w:t>вижении пешеходов по тротуарам, прилегающим к конфликтной площади, не требуется принимать специальные меры для освещения зон вокруг конфликтной площади;</w:t>
      </w:r>
    </w:p>
    <w:p w:rsidR="00000000" w:rsidRDefault="003A3FCA">
      <w:pPr>
        <w:ind w:firstLine="426"/>
        <w:jc w:val="both"/>
      </w:pPr>
      <w:r>
        <w:t>- при наличии тротуаров с интенсивным движением, прилегающих к конфликтной площади, следует либо обеспе</w:t>
      </w:r>
      <w:r>
        <w:t>чивать требуемое освещение для тротуаров, либо включать тротуары в релевантную зону конфликтной площади;</w:t>
      </w:r>
    </w:p>
    <w:p w:rsidR="00000000" w:rsidRDefault="003A3FCA">
      <w:pPr>
        <w:ind w:firstLine="426"/>
        <w:jc w:val="both"/>
      </w:pPr>
      <w:r>
        <w:t>- при наличии велодорожек, в том числе велодорожек совместного с пешеходами использования, прилегающих к конфликтной площади, следует либо обеспечивать требуемое освещение для велодорожек, либо включать велодорожки в релевантную зону конфликтной площади.</w:t>
      </w:r>
    </w:p>
    <w:p w:rsidR="00000000" w:rsidRDefault="003A3FCA">
      <w:pPr>
        <w:ind w:firstLine="426"/>
        <w:jc w:val="both"/>
      </w:pPr>
      <w:r>
        <w:t>5</w:t>
      </w:r>
      <w:r>
        <w:t xml:space="preserve">.15 Светильники освещения пешеходных переходов в одном уровне с проезжей частью следует размещать по шахматной схеме справа от пешеходного перехода. Для освещения одноуровневых пешеходных переходов рекомендуется использовать освещение цвета, отличающегося </w:t>
      </w:r>
      <w:r>
        <w:t>от цвета освещения проезжей части.</w:t>
      </w:r>
    </w:p>
    <w:p w:rsidR="00000000" w:rsidRDefault="003A3FCA">
      <w:pPr>
        <w:ind w:firstLine="426"/>
        <w:jc w:val="both"/>
      </w:pPr>
      <w:r>
        <w:t>5.16 На одноуровневых пешеходных переходах через улицы и дороги категорий А и Б необходимо использовать проектные решения, обеспечивающие повышение уровня освещенности не менее чем 1,5 раза по сравнению с нормой освещения</w:t>
      </w:r>
      <w:r>
        <w:t xml:space="preserve"> пересекаемой проезжей части:</w:t>
      </w:r>
    </w:p>
    <w:p w:rsidR="00000000" w:rsidRDefault="003A3FCA">
      <w:pPr>
        <w:ind w:firstLine="426"/>
        <w:jc w:val="both"/>
      </w:pPr>
      <w:r>
        <w:t>- уменьшение шага установки светильников наружного освещения;</w:t>
      </w:r>
    </w:p>
    <w:p w:rsidR="00000000" w:rsidRDefault="003A3FCA">
      <w:pPr>
        <w:ind w:firstLine="426"/>
        <w:jc w:val="both"/>
      </w:pPr>
      <w:r>
        <w:t>- установку дополнительных или более мощных осветительных приборов;</w:t>
      </w:r>
    </w:p>
    <w:p w:rsidR="00000000" w:rsidRDefault="003A3FCA">
      <w:pPr>
        <w:ind w:firstLine="426"/>
        <w:jc w:val="both"/>
      </w:pPr>
      <w:r>
        <w:t>- использование осветленного покрытия на переходе и т.п.</w:t>
      </w:r>
    </w:p>
    <w:p w:rsidR="00000000" w:rsidRDefault="003A3FCA">
      <w:pPr>
        <w:ind w:firstLine="426"/>
        <w:jc w:val="both"/>
      </w:pPr>
      <w:r>
        <w:t>5.17 Опоры на аллеях и пешеходных дорог</w:t>
      </w:r>
      <w:r>
        <w:t>ах следует располагать вне пешеходной части. Опоры с венчающими светильниками или световыми комплексами на них рекомендуется размещать по односторонней схеме при ширине пешеходной части до 10 м, а при большей ширине - по двухрядной прямоугольной или шахмат</w:t>
      </w:r>
      <w:r>
        <w:t>ной схеме. Допускается неравномерное размещение опор, а также изменение высоты крепления светильников на опорах в зависимости от принятого архитектурного решения, если обеспечивается нормируемый уровень освещенности в среднем для установки и отношение макс</w:t>
      </w:r>
      <w:r>
        <w:t>имальной освещенности к средней увеличивается не более чем в два раза.</w:t>
      </w:r>
    </w:p>
    <w:p w:rsidR="00000000" w:rsidRDefault="003A3FCA">
      <w:pPr>
        <w:ind w:firstLine="426"/>
        <w:jc w:val="both"/>
      </w:pPr>
      <w:r>
        <w:t>5.18 На улицах с воздушной электрической сетью общего пользования светильники наружного освещения следует размещать на опорах этой сети на кронштейнах, устанавливаемых, как правило, выш</w:t>
      </w:r>
      <w:r>
        <w:t>е проводов электрической сети или по другую сторону опоры на уровне проводов.</w:t>
      </w:r>
    </w:p>
    <w:p w:rsidR="00000000" w:rsidRDefault="003A3FCA">
      <w:pPr>
        <w:ind w:firstLine="426"/>
        <w:jc w:val="both"/>
      </w:pPr>
      <w:r>
        <w:t>Расстояние в плане от края светильника до ближайшего провода сети общего пользования должно быть не менее 0,6 м.</w:t>
      </w:r>
    </w:p>
    <w:p w:rsidR="00000000" w:rsidRDefault="003A3FCA">
      <w:pPr>
        <w:ind w:firstLine="426"/>
        <w:jc w:val="both"/>
      </w:pPr>
      <w:r>
        <w:t>5.19 На улицах с трамвайным или троллейбусным движением светильни</w:t>
      </w:r>
      <w:r>
        <w:t>ки следует, как правило, размещать на опорах контактной сети электрифицированного транспорта.</w:t>
      </w:r>
    </w:p>
    <w:p w:rsidR="00000000" w:rsidRDefault="003A3FCA">
      <w:pPr>
        <w:ind w:firstLine="426"/>
        <w:jc w:val="both"/>
      </w:pPr>
      <w:r>
        <w:t>5.20 Опоры наружного освещения на инженерных сооружениях (мостах, путепроводах, эстакадах и т.п.) следует устанавливать в створе ограждений в стальных станинах ил</w:t>
      </w:r>
      <w:r>
        <w:t>и на фланцах, прикрепляемых к несущим элементам инженерного сооружения.</w:t>
      </w:r>
    </w:p>
    <w:p w:rsidR="00000000" w:rsidRDefault="003A3FCA">
      <w:pPr>
        <w:ind w:firstLine="426"/>
        <w:jc w:val="both"/>
      </w:pPr>
      <w:r>
        <w:lastRenderedPageBreak/>
        <w:t xml:space="preserve">5.21 Размещать опоры установок наружного освещения при первом их размещении следует по возможности так, чтобы не требовалась существенная обрезка крон деревьев вдоль освещаемой улицы. </w:t>
      </w:r>
      <w:r>
        <w:t>При новом строительстве улиц, вдоль которых планируется посадка деревьев, разработку проекта озеленения следует осуществлять после проектирования наружного электрического освещения.</w:t>
      </w:r>
    </w:p>
    <w:p w:rsidR="00000000" w:rsidRDefault="003A3FCA">
      <w:pPr>
        <w:ind w:firstLine="426"/>
        <w:jc w:val="both"/>
      </w:pPr>
      <w:r>
        <w:t>5.22 Консольные светильники для освещения проезжей части улиц, дорог и пло</w:t>
      </w:r>
      <w:r>
        <w:t>щадей следует, как правило, устанавливать под углом 15º к горизонту.</w:t>
      </w:r>
    </w:p>
    <w:p w:rsidR="00000000" w:rsidRDefault="003A3FCA">
      <w:pPr>
        <w:ind w:firstLine="426"/>
        <w:jc w:val="both"/>
      </w:pPr>
      <w:r>
        <w:t>При размещении светильников по двухрядной шахматной или двухрядной прямоугольной схеме на улицах с шириной проезжей части более 21 м допускается увеличивать угол их наклона до не более 30</w:t>
      </w:r>
      <w:r>
        <w:t>º.</w:t>
      </w:r>
    </w:p>
    <w:p w:rsidR="00000000" w:rsidRDefault="003A3FCA">
      <w:pPr>
        <w:ind w:firstLine="426"/>
        <w:jc w:val="both"/>
      </w:pPr>
      <w:r>
        <w:t>5.23 В проектах освещения улиц и дорог категорий А и Б с интенсивностью движения более 1000 транспортных единиц в час в городских населенных пунктах со средним количеством жидких атмосферных осадков более 600 мм/год следует учитывать особенности отражен</w:t>
      </w:r>
      <w:r>
        <w:t>ия света влажными дорожными покрытиями, предусматривая:</w:t>
      </w:r>
    </w:p>
    <w:p w:rsidR="00000000" w:rsidRDefault="003A3FCA">
      <w:pPr>
        <w:ind w:firstLine="426"/>
        <w:jc w:val="both"/>
      </w:pPr>
      <w:r>
        <w:t>- применение светильников полуширокого светораспределения или широкого с направлением максимальной силы света не выше 60º, если отношение ширины проезжей части к высоте установки светильников превышае</w:t>
      </w:r>
      <w:r>
        <w:t>т 0,5 при одностороннем их размещении и 1,5 - при двухрядном размещении;</w:t>
      </w:r>
    </w:p>
    <w:p w:rsidR="00000000" w:rsidRDefault="003A3FCA">
      <w:pPr>
        <w:ind w:firstLine="426"/>
        <w:jc w:val="both"/>
      </w:pPr>
      <w:r>
        <w:t>- размещение светильников на закруглениях только с внешней стороны дороги;</w:t>
      </w:r>
    </w:p>
    <w:p w:rsidR="00000000" w:rsidRDefault="003A3FCA">
      <w:pPr>
        <w:ind w:firstLine="426"/>
        <w:jc w:val="both"/>
      </w:pPr>
      <w:r>
        <w:t>- окрашивание цокольной части опор белой краской.</w:t>
      </w:r>
    </w:p>
    <w:p w:rsidR="00000000" w:rsidRDefault="003A3FCA">
      <w:pPr>
        <w:ind w:firstLine="426"/>
        <w:jc w:val="both"/>
      </w:pPr>
      <w:r>
        <w:t>Если количество жидких осадков превышает 700 мм/год, а инт</w:t>
      </w:r>
      <w:r>
        <w:t>енсивность движения по улицам и дорогам указанных категорий превышает 2000 транспортных единиц в час, в дополнение к указанным мерам следует, как правило, предусматривать установку двухламповых светильников на опоре для обеспечения в ночное время до 50% ис</w:t>
      </w:r>
      <w:r>
        <w:t>точников света.</w:t>
      </w:r>
    </w:p>
    <w:p w:rsidR="00000000" w:rsidRDefault="003A3FCA">
      <w:pPr>
        <w:ind w:firstLine="426"/>
        <w:jc w:val="both"/>
      </w:pPr>
      <w:r>
        <w:t>5.24 При выборе высоты установки светильников наружного электрического освещения следует учитывать не только технические и экономические аспекты, но и внешний вид в дневное время:</w:t>
      </w:r>
    </w:p>
    <w:p w:rsidR="00000000" w:rsidRDefault="003A3FCA">
      <w:pPr>
        <w:ind w:firstLine="426"/>
        <w:jc w:val="both"/>
      </w:pPr>
      <w:r>
        <w:t>- высота опоры и светильника, как правило, не должна превыша</w:t>
      </w:r>
      <w:r>
        <w:t>ть высоту соседних зданий;</w:t>
      </w:r>
    </w:p>
    <w:p w:rsidR="00000000" w:rsidRDefault="003A3FCA">
      <w:pPr>
        <w:ind w:firstLine="426"/>
        <w:jc w:val="both"/>
      </w:pPr>
      <w:r>
        <w:t>- следует по возможности выбирать осветительные опоры и консольные кронштейны минимального поперечного сечения, обеспечивающего прочность и надежность осветительной конструкции.</w:t>
      </w:r>
    </w:p>
    <w:p w:rsidR="00000000" w:rsidRDefault="003A3FCA">
      <w:pPr>
        <w:ind w:firstLine="426"/>
        <w:jc w:val="both"/>
      </w:pPr>
      <w:r>
        <w:t>5.25 При проектировании наружного электрического ос</w:t>
      </w:r>
      <w:r>
        <w:t>вещения открытых верхних уровней многоярусных автостоянок следует избегать визуального доминирования элементов осветительной установки днем и источников света ночью над линией горизонта.</w:t>
      </w:r>
    </w:p>
    <w:p w:rsidR="00000000" w:rsidRDefault="003A3FCA">
      <w:pPr>
        <w:ind w:firstLine="426"/>
        <w:jc w:val="both"/>
      </w:pPr>
      <w:r>
        <w:t>Граница открытого верхнего уровня многоярусной автостоянки должна быт</w:t>
      </w:r>
      <w:r>
        <w:t>ь четко выделена освещением периметра и перил. При выборе точек размещения светильников и конструкций осветительных установок следует учитывать доступ для их обслуживания в процессе последующей эксплуатации.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jc w:val="center"/>
      </w:pPr>
      <w:r>
        <w:rPr>
          <w:rStyle w:val="s1"/>
        </w:rPr>
        <w:br/>
        <w:t>6. ПРОЕКТИРОВАНИЕ УСТАНОВОК НАРУЖНОГО ЭЛЕКТРИ</w:t>
      </w:r>
      <w:r>
        <w:rPr>
          <w:rStyle w:val="s1"/>
        </w:rPr>
        <w:t xml:space="preserve">ЧЕСКОГО </w:t>
      </w:r>
      <w:r>
        <w:rPr>
          <w:rStyle w:val="s1"/>
        </w:rPr>
        <w:br/>
        <w:t>ОСВЕЩЕНИЯ ТЕРРИТОРИЙ ЖИЛЫХ РАЙОНОВ</w:t>
      </w:r>
    </w:p>
    <w:p w:rsidR="00000000" w:rsidRDefault="003A3FCA">
      <w:pPr>
        <w:ind w:firstLine="426"/>
        <w:jc w:val="center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t>6.1 Освещение улиц, дорог и площадей территорий микрорайонов следует, как правило, выполнять светильниками, располагаемыми на опорах или тросах.</w:t>
      </w:r>
    </w:p>
    <w:p w:rsidR="00000000" w:rsidRDefault="003A3FCA">
      <w:pPr>
        <w:ind w:firstLine="426"/>
        <w:jc w:val="both"/>
      </w:pPr>
      <w:r>
        <w:t>Освещение тротуаров-подъездов на территории микрорайонов допускается выполнять светильниками, располагаемыми на</w:t>
      </w:r>
      <w:r>
        <w:t xml:space="preserve"> стенах или над козырьками подъездов зданий, если приведенные годовые затраты при этом не выше, чем при установке аналогичных светильников на опорах, а также обеспечивается: возможность обслуживания светильников с помощью автоподъемников, централизованное </w:t>
      </w:r>
      <w:r>
        <w:t xml:space="preserve">управление работой светильников, </w:t>
      </w:r>
      <w:r>
        <w:lastRenderedPageBreak/>
        <w:t>исключение засветки окон жилых помещений и повреждения светильников при падении с крыш снега и льда.</w:t>
      </w:r>
    </w:p>
    <w:p w:rsidR="00000000" w:rsidRDefault="003A3FCA">
      <w:pPr>
        <w:ind w:firstLine="426"/>
        <w:jc w:val="both"/>
      </w:pPr>
      <w:r>
        <w:t>6.2 В целях ограничения засветки окон жилых домов установками наружного освещения жилых районов следует применять светильн</w:t>
      </w:r>
      <w:r>
        <w:t>ики с ограниченными значениями силы света в направлении окон или светильники с экранирующими решетками или козырьками.</w:t>
      </w:r>
    </w:p>
    <w:p w:rsidR="00000000" w:rsidRDefault="003A3FCA">
      <w:pPr>
        <w:ind w:firstLine="426"/>
        <w:jc w:val="both"/>
      </w:pPr>
      <w:r>
        <w:t xml:space="preserve">6.3 Освещение внутренних, служебно-хозяйственных и пожарных проездов, автостоянок, хозяйственных площадок и площадок при мусоросборниках </w:t>
      </w:r>
      <w:r>
        <w:t>в микрорайонах следует, как правило, выполнять светильниками прямого или преимущественного прямого света.</w:t>
      </w:r>
    </w:p>
    <w:p w:rsidR="00000000" w:rsidRDefault="003A3FCA">
      <w:pPr>
        <w:ind w:firstLine="426"/>
        <w:jc w:val="both"/>
      </w:pPr>
      <w:r>
        <w:t>6.4 Освещение аллей, пешеходных и прогулочных дорожек, а также центральных входов в парки, сады, стадионы, выставки, больницы, дома отдыха, пансионаты</w:t>
      </w:r>
      <w:r>
        <w:t>, санатории следует, как правило, выполнять светильниками рассеянного или преимущественно прямого света.</w:t>
      </w:r>
    </w:p>
    <w:p w:rsidR="00000000" w:rsidRDefault="003A3FCA">
      <w:pPr>
        <w:ind w:firstLine="426"/>
        <w:jc w:val="both"/>
      </w:pPr>
      <w:r>
        <w:t>Освещение площадок массовых игр и площадок перед эстрадами, аттракционами следует осуществлять светильниками широкого светораспределения.</w:t>
      </w:r>
    </w:p>
    <w:p w:rsidR="00000000" w:rsidRDefault="003A3FCA">
      <w:pPr>
        <w:ind w:firstLine="426"/>
        <w:jc w:val="both"/>
      </w:pPr>
      <w:r>
        <w:t>6.5 Требовани</w:t>
      </w:r>
      <w:r>
        <w:t>я к наружному электрическому освещению открытых спортивных сооружений в зависимости от вида спорта приведены в таблице Ж.1 приложения Ж. Нормируемые показатели приведены для основной игровой зоны (включающей в себя собственно «поле», ограниченное соответст</w:t>
      </w:r>
      <w:r>
        <w:t>вующей разметкой, и дополнительные зоны вокруг разметки, используемые игроками, например, в теннисе, волейболе, регби).</w:t>
      </w:r>
    </w:p>
    <w:p w:rsidR="00000000" w:rsidRDefault="003A3FCA">
      <w:pPr>
        <w:ind w:firstLine="426"/>
        <w:jc w:val="both"/>
      </w:pPr>
      <w:r>
        <w:t>ПРИМЕЧАНИЕ. Требования таблицы Ж.1 приложения Ж основаны на потребностях участников спортивных соревнований. Для удовлетворения потребно</w:t>
      </w:r>
      <w:r>
        <w:t>стей зрителей необходимо обеспечивать также минимальную вертикальную освещенность, которая должна составлять не менее 30% от горизонтальной освещенности.</w:t>
      </w:r>
    </w:p>
    <w:p w:rsidR="00000000" w:rsidRDefault="003A3FCA">
      <w:pPr>
        <w:ind w:firstLine="426"/>
        <w:jc w:val="both"/>
      </w:pPr>
      <w:r>
        <w:t>Уровни освещенности открытых спортивных сооружений следует выбирать по таблице Ж.1 приложения Ж в соот</w:t>
      </w:r>
      <w:r>
        <w:t>ветствие с классом освещения, выбранным по таблице 2.</w:t>
      </w:r>
    </w:p>
    <w:p w:rsidR="00000000" w:rsidRDefault="003A3FCA">
      <w:pPr>
        <w:ind w:firstLine="426"/>
        <w:jc w:val="both"/>
      </w:pPr>
      <w:r>
        <w:t>Освещенность зрительской зоны открытых спортивных сооружений, обеспечивающая комфорт для зрителей, должна составлять не менее 10 лк.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center"/>
      </w:pPr>
      <w:r>
        <w:rPr>
          <w:b/>
          <w:bCs/>
        </w:rPr>
        <w:t>Таблица 2 - Выбор класса освещения открытых спортивных сооружений</w:t>
      </w:r>
    </w:p>
    <w:p w:rsidR="00000000" w:rsidRDefault="003A3FCA">
      <w:pPr>
        <w:ind w:firstLine="426"/>
        <w:jc w:val="both"/>
      </w:pPr>
      <w:r>
        <w:t> </w:t>
      </w:r>
    </w:p>
    <w:tbl>
      <w:tblPr>
        <w:tblW w:w="484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7"/>
        <w:gridCol w:w="1635"/>
        <w:gridCol w:w="1629"/>
        <w:gridCol w:w="1340"/>
      </w:tblGrid>
      <w:tr w:rsidR="00000000">
        <w:trPr>
          <w:trHeight w:val="20"/>
        </w:trPr>
        <w:tc>
          <w:tcPr>
            <w:tcW w:w="24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Уровень проводимых соревнований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Класс освещения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3FCA"/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I </w:t>
            </w:r>
            <w:r>
              <w:rPr>
                <w:vertAlign w:val="superscript"/>
              </w:rPr>
              <w:t>1)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II </w:t>
            </w:r>
            <w:r>
              <w:rPr>
                <w:vertAlign w:val="superscript"/>
              </w:rPr>
              <w:t>2)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III </w:t>
            </w:r>
            <w:r>
              <w:rPr>
                <w:vertAlign w:val="superscript"/>
              </w:rPr>
              <w:t>3)</w:t>
            </w:r>
          </w:p>
        </w:tc>
      </w:tr>
      <w:tr w:rsidR="00000000">
        <w:trPr>
          <w:trHeight w:val="20"/>
        </w:trPr>
        <w:tc>
          <w:tcPr>
            <w:tcW w:w="2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Международные и национальные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Региональные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Местные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</w:tr>
      <w:tr w:rsidR="00000000">
        <w:trPr>
          <w:trHeight w:val="20"/>
        </w:trPr>
        <w:tc>
          <w:tcPr>
            <w:tcW w:w="2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Тренировки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</w:tr>
      <w:tr w:rsidR="00000000">
        <w:trPr>
          <w:trHeight w:val="276"/>
        </w:trPr>
        <w:tc>
          <w:tcPr>
            <w:tcW w:w="2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Физкультурные, оздоровительные мероприятия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х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both"/>
            </w:pPr>
            <w:r>
              <w:t>Примечания:</w:t>
            </w:r>
          </w:p>
          <w:p w:rsidR="00000000" w:rsidRDefault="003A3FCA">
            <w:pPr>
              <w:spacing w:line="276" w:lineRule="auto"/>
              <w:jc w:val="both"/>
            </w:pPr>
            <w:r>
              <w:rPr>
                <w:vertAlign w:val="superscript"/>
              </w:rPr>
              <w:t>1)</w:t>
            </w:r>
            <w:r>
              <w:t xml:space="preserve"> </w:t>
            </w:r>
            <w:r>
              <w:t>Класс освещения I: соревнования высшего уровня, такие как международные и национальные чемпионаты, требующие зрительскую зону большой вместимости с большими потенциальными расстояниями наблюдения. Тренировки спортсменов высшего уровня также допускается отн</w:t>
            </w:r>
            <w:r>
              <w:t>осить к данному классу</w:t>
            </w:r>
          </w:p>
          <w:p w:rsidR="00000000" w:rsidRDefault="003A3FCA">
            <w:pPr>
              <w:spacing w:line="276" w:lineRule="auto"/>
              <w:jc w:val="both"/>
            </w:pPr>
            <w:r>
              <w:rPr>
                <w:vertAlign w:val="superscript"/>
              </w:rPr>
              <w:t>2)</w:t>
            </w:r>
            <w:r>
              <w:t xml:space="preserve"> Класс освещения II: соревнования среднего уровня, такие как региональные или мастные клубные соревнования, требующие зрительскую зону средней вместимости со средними потенциальными расстояниями наблюдения.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rPr>
                <w:vertAlign w:val="superscript"/>
              </w:rPr>
              <w:lastRenderedPageBreak/>
              <w:t>3)</w:t>
            </w:r>
            <w:r>
              <w:t xml:space="preserve"> Класс освещения III: </w:t>
            </w:r>
            <w:r>
              <w:t>соревнования низкого уровня, такие как местные соревнования, которые, как правило, не требуют наличие зрительской зоны. Общую физическую подготовку, занятия физкультурой и оздоровительные мероприятия также относят к данному классу освещения</w:t>
            </w:r>
          </w:p>
        </w:tc>
      </w:tr>
    </w:tbl>
    <w:p w:rsidR="00000000" w:rsidRDefault="003A3FCA">
      <w:pPr>
        <w:ind w:firstLine="426"/>
        <w:jc w:val="both"/>
      </w:pPr>
      <w:r>
        <w:lastRenderedPageBreak/>
        <w:t> </w:t>
      </w:r>
    </w:p>
    <w:p w:rsidR="00000000" w:rsidRDefault="003A3FCA">
      <w:pPr>
        <w:ind w:firstLine="426"/>
        <w:jc w:val="both"/>
      </w:pPr>
      <w:r>
        <w:t>6.6 При проектировании наружного электрического освещения открытых спортивных сооружений следует учитывать требования к вертикальной освещенности при осуществлении передач цветного телевидения и записи на цветную пленку. Средняя вертикальная освещенность (</w:t>
      </w:r>
      <w:r>
        <w:rPr>
          <w:i/>
          <w:iCs/>
        </w:rPr>
        <w:t>Е</w:t>
      </w:r>
      <w:r>
        <w:rPr>
          <w:vertAlign w:val="subscript"/>
        </w:rPr>
        <w:t>ср</w:t>
      </w:r>
      <w:r>
        <w:t>) определяется в зависимости от вида спорта и максимальной дистанции съемки (</w:t>
      </w:r>
      <w:r>
        <w:rPr>
          <w:i/>
          <w:iCs/>
        </w:rPr>
        <w:t>d</w:t>
      </w:r>
      <w:r>
        <w:t xml:space="preserve">) в соответствии с графиком на рисунке 2. Отнесение вида спорта к группе (А, В или С) указано в таблице Ж.1 </w:t>
      </w:r>
      <w:hyperlink r:id="rId39" w:anchor="sub_id=6" w:history="1">
        <w:r>
          <w:rPr>
            <w:rStyle w:val="a3"/>
          </w:rPr>
          <w:t>приложения Ж</w:t>
        </w:r>
      </w:hyperlink>
      <w:r>
        <w:t>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6153150" cy="4048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center"/>
      </w:pPr>
      <w:r>
        <w:rPr>
          <w:b/>
          <w:bCs/>
        </w:rPr>
        <w:t>Рисунок 2 - Средняя вертикальная освещенность как функция максим</w:t>
      </w:r>
      <w:r>
        <w:rPr>
          <w:b/>
          <w:bCs/>
        </w:rPr>
        <w:t>альной дистанции съемки</w:t>
      </w:r>
    </w:p>
    <w:p w:rsidR="00000000" w:rsidRDefault="003A3FCA">
      <w:pPr>
        <w:ind w:firstLine="426"/>
        <w:jc w:val="center"/>
      </w:pPr>
      <w:r>
        <w:t> </w:t>
      </w:r>
    </w:p>
    <w:p w:rsidR="00000000" w:rsidRDefault="003A3FCA">
      <w:pPr>
        <w:ind w:firstLine="426"/>
        <w:jc w:val="both"/>
      </w:pPr>
      <w:r>
        <w:t>Равномерность вертикальной освещенности (</w:t>
      </w:r>
      <w:r>
        <w:rPr>
          <w:i/>
          <w:iCs/>
        </w:rPr>
        <w:t>Е</w:t>
      </w:r>
      <w:r>
        <w:rPr>
          <w:i/>
          <w:iCs/>
          <w:vertAlign w:val="subscript"/>
        </w:rPr>
        <w:t>в,мин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в,макс</w:t>
      </w:r>
      <w:r>
        <w:t xml:space="preserve">) в плоскостях, обращенных к боковой линии, граничащей с зоной размещения основной камеры, или обращенных к фиксированному положению основной камеры, должна быть не меньше 0,4; 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в,мин</w:t>
      </w:r>
      <w:r>
        <w:t xml:space="preserve"> - минимальная вертикальная освещенность, лк, и </w:t>
      </w:r>
      <w:r>
        <w:rPr>
          <w:i/>
          <w:iCs/>
        </w:rPr>
        <w:t>Е</w:t>
      </w:r>
      <w:r>
        <w:rPr>
          <w:i/>
          <w:iCs/>
          <w:vertAlign w:val="subscript"/>
        </w:rPr>
        <w:t>в,макс</w:t>
      </w:r>
      <w:r>
        <w:t xml:space="preserve"> - максимальна</w:t>
      </w:r>
      <w:r>
        <w:t xml:space="preserve">я вертикальная освещенность, лк. </w:t>
      </w:r>
    </w:p>
    <w:p w:rsidR="00000000" w:rsidRDefault="003A3FCA">
      <w:pPr>
        <w:ind w:firstLine="426"/>
        <w:jc w:val="both"/>
      </w:pPr>
      <w:r>
        <w:t>Равномерность вертикальной освещенности (</w:t>
      </w:r>
      <w:r>
        <w:rPr>
          <w:i/>
          <w:iCs/>
        </w:rPr>
        <w:t>Е</w:t>
      </w:r>
      <w:r>
        <w:rPr>
          <w:i/>
          <w:iCs/>
          <w:vertAlign w:val="subscript"/>
        </w:rPr>
        <w:t>в,мин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в,макс</w:t>
      </w:r>
      <w:r>
        <w:t xml:space="preserve">) в отдельно взятой точке сетки в четырех плоскостях, обращенных к игровой зоне, должна быть не меньше 0,3. </w:t>
      </w:r>
    </w:p>
    <w:p w:rsidR="00000000" w:rsidRDefault="003A3FCA">
      <w:pPr>
        <w:ind w:firstLine="426"/>
        <w:jc w:val="both"/>
      </w:pPr>
      <w:r>
        <w:t>Отношение средней горизонтальной освещенности к средней ве</w:t>
      </w:r>
      <w:r>
        <w:t xml:space="preserve">ртикальной освещенности в каждой зоне размещения основной камеры (или в фиксированном положении основной камеры) должно быть не меньше 0,5 и меньше 2,0. </w:t>
      </w:r>
    </w:p>
    <w:p w:rsidR="00000000" w:rsidRDefault="003A3FCA">
      <w:pPr>
        <w:ind w:firstLine="426"/>
        <w:jc w:val="both"/>
      </w:pPr>
      <w:r>
        <w:t>Равномерность горизонтальной освещенности (</w:t>
      </w:r>
      <w:r>
        <w:rPr>
          <w:i/>
          <w:iCs/>
        </w:rPr>
        <w:t>Е</w:t>
      </w:r>
      <w:r>
        <w:rPr>
          <w:i/>
          <w:iCs/>
          <w:vertAlign w:val="subscript"/>
        </w:rPr>
        <w:t>г,мин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г,макс</w:t>
      </w:r>
      <w:r>
        <w:t xml:space="preserve">) на </w:t>
      </w:r>
      <w:r>
        <w:t xml:space="preserve">игровом поле должна быть не меньше 0,5, 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г,мин</w:t>
      </w:r>
      <w:r>
        <w:t xml:space="preserve"> - минимальная горизонтальная освещенность, лк, и </w:t>
      </w:r>
      <w:r>
        <w:rPr>
          <w:i/>
          <w:iCs/>
        </w:rPr>
        <w:t>Е</w:t>
      </w:r>
      <w:r>
        <w:rPr>
          <w:i/>
          <w:iCs/>
          <w:vertAlign w:val="subscript"/>
        </w:rPr>
        <w:t>г,макс</w:t>
      </w:r>
      <w:r>
        <w:t xml:space="preserve">- </w:t>
      </w:r>
      <w:r>
        <w:lastRenderedPageBreak/>
        <w:t xml:space="preserve">максимальная горизонтальная освещенность, лк. Максимальный градиент горизонтальной освещенности не должен превышать 25% на 5 м. 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jc w:val="center"/>
      </w:pPr>
      <w:r>
        <w:rPr>
          <w:rStyle w:val="s1"/>
        </w:rPr>
        <w:t>7. ПРОЕКТИРОВА</w:t>
      </w:r>
      <w:r>
        <w:rPr>
          <w:rStyle w:val="s1"/>
        </w:rPr>
        <w:t xml:space="preserve">НИЕ УСТАНОВОК АРХИТЕКТУРНОГО ОСВЕЩЕНИЯ </w:t>
      </w:r>
      <w:r>
        <w:rPr>
          <w:rStyle w:val="s1"/>
        </w:rPr>
        <w:br/>
        <w:t>И СВЕТОВОЙ РЕКЛАМЫ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7.1 Для создания выразительного архитектурно-художественного облика населенного пункта в вечернее время следует, как правило, предусматривать электрическое освещение архитектурных объектов:</w:t>
      </w:r>
    </w:p>
    <w:p w:rsidR="00000000" w:rsidRDefault="003A3FCA">
      <w:pPr>
        <w:ind w:firstLine="426"/>
        <w:jc w:val="both"/>
      </w:pPr>
      <w:r>
        <w:t>- анс</w:t>
      </w:r>
      <w:r>
        <w:t>амблей зданий, сооружений, зеленых насаждений и фонтанов, устройство рекламы на площадях и улицах, набережных, парках и местах массового отдыха населения;</w:t>
      </w:r>
    </w:p>
    <w:p w:rsidR="00000000" w:rsidRDefault="003A3FCA">
      <w:pPr>
        <w:ind w:firstLine="426"/>
        <w:jc w:val="both"/>
      </w:pPr>
      <w:r>
        <w:t>- объектов и памятников, характеризующих национальные, архитектурно-художественные и историко-культур</w:t>
      </w:r>
      <w:r>
        <w:t>ные особенности населенного пункта.</w:t>
      </w:r>
    </w:p>
    <w:p w:rsidR="00000000" w:rsidRDefault="003A3FCA">
      <w:pPr>
        <w:ind w:firstLine="426"/>
        <w:jc w:val="both"/>
      </w:pPr>
      <w:r>
        <w:t>7.2 Решения по архитектурному освещению зданий, сооружений и световой рекламы, располагаемой на них, должны, как правило, предусматриваться в проектах этих зданий, сооружений.</w:t>
      </w:r>
    </w:p>
    <w:p w:rsidR="00000000" w:rsidRDefault="003A3FCA">
      <w:pPr>
        <w:ind w:firstLine="426"/>
        <w:jc w:val="both"/>
      </w:pPr>
      <w:r>
        <w:t>В строительной части проектов зданий и соору</w:t>
      </w:r>
      <w:r>
        <w:t>жений следует предусматривать закладные детали, ниши и другие устройства, необходимые для установки световых приборов, электроконструкций и прокладки осветительной сети.</w:t>
      </w:r>
    </w:p>
    <w:p w:rsidR="00000000" w:rsidRDefault="003A3FCA">
      <w:pPr>
        <w:ind w:firstLine="426"/>
        <w:jc w:val="both"/>
      </w:pPr>
      <w:r>
        <w:t>7.3 Для архитектурного освещения зданий и сооружений применяют следующие способы освещ</w:t>
      </w:r>
      <w:r>
        <w:t>ения:</w:t>
      </w:r>
    </w:p>
    <w:p w:rsidR="00000000" w:rsidRDefault="003A3FCA">
      <w:pPr>
        <w:ind w:firstLine="426"/>
        <w:jc w:val="both"/>
      </w:pPr>
      <w:r>
        <w:t>- равномерное всего фасада здания или сооружения, части или отдельных элементов здания;</w:t>
      </w:r>
    </w:p>
    <w:p w:rsidR="00000000" w:rsidRDefault="003A3FCA">
      <w:pPr>
        <w:ind w:firstLine="426"/>
        <w:jc w:val="both"/>
      </w:pPr>
      <w:r>
        <w:t>- комбинированное (равномерное освещение фасада и усиленное отдельных элементов здания);</w:t>
      </w:r>
    </w:p>
    <w:p w:rsidR="00000000" w:rsidRDefault="003A3FCA">
      <w:pPr>
        <w:ind w:firstLine="426"/>
        <w:jc w:val="both"/>
      </w:pPr>
      <w:r>
        <w:t>- создание определенного светового рисунка на фасаде здания включением по</w:t>
      </w:r>
      <w:r>
        <w:t xml:space="preserve"> заданной программе внутреннего освещения помещений, просматриваемых через остекленные световые проемы;</w:t>
      </w:r>
    </w:p>
    <w:p w:rsidR="00000000" w:rsidRDefault="003A3FCA">
      <w:pPr>
        <w:ind w:firstLine="426"/>
        <w:jc w:val="both"/>
      </w:pPr>
      <w:r>
        <w:t>- создание определенного светового орнамента декоративными настенными уличными светильниками.</w:t>
      </w:r>
    </w:p>
    <w:p w:rsidR="00000000" w:rsidRDefault="003A3FCA">
      <w:pPr>
        <w:ind w:firstLine="426"/>
        <w:jc w:val="both"/>
      </w:pPr>
      <w:r>
        <w:t>7.4 В фонтане следует, как правило, освещать водяные струи</w:t>
      </w:r>
      <w:r>
        <w:t>, поверхность воды, скульптуру и отдельные архитектурные элементы фонтана.</w:t>
      </w:r>
    </w:p>
    <w:p w:rsidR="00000000" w:rsidRDefault="003A3FCA">
      <w:pPr>
        <w:ind w:firstLine="426"/>
        <w:jc w:val="both"/>
      </w:pPr>
      <w:r>
        <w:t>Подсвет вертикальных или наклонных струй необходимо, как правило, осуществлять осветительными приборами с концентрированной кривой силы света, расположенными под водой непосредствен</w:t>
      </w:r>
      <w:r>
        <w:t>но у насадки. Освещение наклонных струй, подающих вниз, следует осуществлять осветительными приборами с косинусной или полуширокой кривой силы света, расположенными в зоне падения струй.</w:t>
      </w:r>
    </w:p>
    <w:p w:rsidR="00000000" w:rsidRDefault="003A3FCA">
      <w:pPr>
        <w:ind w:firstLine="426"/>
        <w:jc w:val="both"/>
      </w:pPr>
      <w:r>
        <w:t>Осветительные приборы должны, как правило, располагаться скрыто. Осве</w:t>
      </w:r>
      <w:r>
        <w:t>щение фонтана может быть статическим, динамическим, одноцветным или многоцветным и определяться архитектурно-художественным содержанием.</w:t>
      </w:r>
    </w:p>
    <w:p w:rsidR="00000000" w:rsidRDefault="003A3FCA">
      <w:pPr>
        <w:ind w:firstLine="426"/>
        <w:jc w:val="both"/>
      </w:pPr>
      <w:r>
        <w:t>7.5 Рабочее напряжение светильников и ламп, используемых для подсветки фонтанов, не должно превышать 12 В. В качестве с</w:t>
      </w:r>
      <w:r>
        <w:t xml:space="preserve">ветильников подсветки фонтанов, размещаемых под водой и около воды, следует использовать герметичные галогенные светильники со степенью защиты оболочки IP68 по </w:t>
      </w:r>
      <w:hyperlink r:id="rId42" w:history="1">
        <w:r>
          <w:rPr>
            <w:rStyle w:val="a3"/>
          </w:rPr>
          <w:t>ГОСТ 14254</w:t>
        </w:r>
      </w:hyperlink>
      <w:r>
        <w:t>, светодиодные и опто</w:t>
      </w:r>
      <w:r>
        <w:t>волоконные светильники.</w:t>
      </w:r>
    </w:p>
    <w:p w:rsidR="00000000" w:rsidRDefault="003A3FCA">
      <w:pPr>
        <w:ind w:firstLine="426"/>
        <w:jc w:val="both"/>
      </w:pPr>
      <w:r>
        <w:t>Электропроводка подсветки фонтанов должна быть снабжена системой автоматического прерывателя по утечке тока.</w:t>
      </w:r>
    </w:p>
    <w:p w:rsidR="00000000" w:rsidRDefault="003A3FCA">
      <w:pPr>
        <w:ind w:firstLine="426"/>
        <w:jc w:val="both"/>
      </w:pPr>
      <w:r>
        <w:t xml:space="preserve">Для монтажа осветительных приборов в фонтанах и бассейнах следует использовать только специальные кабели марок АПВ, АППВ и </w:t>
      </w:r>
      <w:r>
        <w:t>АПРН. Открытая проводка должна быть в водоотталкивающей герметичной шине. Электропроводка, прокладываемая в земле, должна быть устойчивой к гниению.</w:t>
      </w:r>
    </w:p>
    <w:p w:rsidR="00000000" w:rsidRDefault="003A3FCA">
      <w:pPr>
        <w:ind w:firstLine="426"/>
        <w:jc w:val="both"/>
      </w:pPr>
      <w:r>
        <w:lastRenderedPageBreak/>
        <w:t>7.6 Проектирование установок световой рекламы должно осуществляться в соответствии с принятым принципом све</w:t>
      </w:r>
      <w:r>
        <w:t>тового решения:</w:t>
      </w:r>
    </w:p>
    <w:p w:rsidR="00000000" w:rsidRDefault="003A3FCA">
      <w:pPr>
        <w:ind w:firstLine="426"/>
        <w:jc w:val="both"/>
      </w:pPr>
      <w:r>
        <w:t>- в качестве источников света для установок с надписью или художественным изображением, набранных из открытых источников света, используют, как правило, газосветные трубки и лампы накаливания;</w:t>
      </w:r>
    </w:p>
    <w:p w:rsidR="00000000" w:rsidRDefault="003A3FCA">
      <w:pPr>
        <w:ind w:firstLine="426"/>
        <w:jc w:val="both"/>
      </w:pPr>
      <w:r>
        <w:t>- в качестве источников света для транспарантны</w:t>
      </w:r>
      <w:r>
        <w:t>х установок с лицевой поверхностью из светорассеивающего материала, подсвечиваемого изнутри, используют, как правило, газосветные трубки, люминесцентные лампы или лампы накаливания.</w:t>
      </w:r>
    </w:p>
    <w:p w:rsidR="00000000" w:rsidRDefault="003A3FCA">
      <w:pPr>
        <w:ind w:firstLine="426"/>
        <w:jc w:val="both"/>
      </w:pPr>
      <w:r>
        <w:t>7.7 Для исключения ослепления смотрящих, осветительные приборы, используем</w:t>
      </w:r>
      <w:r>
        <w:t>ые для освещения афиши и рекламного щита, должны иметь соответствующий защитный угол или оборудоваться экранирующими решетками.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jc w:val="center"/>
      </w:pPr>
      <w:r>
        <w:rPr>
          <w:rStyle w:val="s1"/>
        </w:rPr>
        <w:t xml:space="preserve">8. СВЕТОТЕХНИЧЕСКИЙ РАСЧЕТ УСТАНОВОК </w:t>
      </w:r>
      <w:r>
        <w:rPr>
          <w:rStyle w:val="s1"/>
        </w:rPr>
        <w:br/>
        <w:t>НАРУЖНОГО ОСВЕЩЕНИЯ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8.1 Общие положения</w:t>
      </w:r>
    </w:p>
    <w:p w:rsidR="00000000" w:rsidRDefault="003A3FCA">
      <w:pPr>
        <w:ind w:firstLine="426"/>
        <w:jc w:val="both"/>
      </w:pPr>
      <w:r>
        <w:t>8.1.1 Светотехнический расчет установок наружного освещения площадей различного назначения должен производиться с учетом обеспечения нормируемых величин на соответствующих функциональных зонах площади.</w:t>
      </w:r>
    </w:p>
    <w:p w:rsidR="00000000" w:rsidRDefault="003A3FCA">
      <w:pPr>
        <w:ind w:firstLine="426"/>
        <w:jc w:val="both"/>
      </w:pPr>
      <w:r>
        <w:t>Нормы освещенности и яркости следует принимать в соотв</w:t>
      </w:r>
      <w:r>
        <w:t>етствие с СН РК 4.04-04.</w:t>
      </w:r>
    </w:p>
    <w:p w:rsidR="00000000" w:rsidRDefault="003A3FCA">
      <w:pPr>
        <w:ind w:firstLine="426"/>
        <w:jc w:val="both"/>
      </w:pPr>
      <w:r>
        <w:t>8.1.2 При светотехническом расчете установок наружного электрического освещения улично-дорожной сети основными расчетными параметрами являются:</w:t>
      </w:r>
    </w:p>
    <w:p w:rsidR="00000000" w:rsidRDefault="003A3FCA">
      <w:pPr>
        <w:ind w:firstLine="426"/>
        <w:jc w:val="both"/>
      </w:pPr>
      <w:r>
        <w:t>- распределение яркости дорожного покрытия;</w:t>
      </w:r>
    </w:p>
    <w:p w:rsidR="00000000" w:rsidRDefault="003A3FCA">
      <w:pPr>
        <w:ind w:firstLine="426"/>
        <w:jc w:val="both"/>
      </w:pPr>
      <w:r>
        <w:t>- средняя яркость дорожного покрытия;</w:t>
      </w:r>
    </w:p>
    <w:p w:rsidR="00000000" w:rsidRDefault="003A3FCA">
      <w:pPr>
        <w:ind w:firstLine="426"/>
        <w:jc w:val="both"/>
      </w:pPr>
      <w:r>
        <w:t>- коэ</w:t>
      </w:r>
      <w:r>
        <w:t>ффициент общей равномерности распределения яркости;</w:t>
      </w:r>
    </w:p>
    <w:p w:rsidR="00000000" w:rsidRDefault="003A3FCA">
      <w:pPr>
        <w:ind w:firstLine="426"/>
        <w:jc w:val="both"/>
      </w:pPr>
      <w:r>
        <w:t>- коэффициент продольной равномерности распределения яркости;</w:t>
      </w:r>
    </w:p>
    <w:p w:rsidR="00000000" w:rsidRDefault="003A3FCA">
      <w:pPr>
        <w:ind w:firstLine="426"/>
        <w:jc w:val="both"/>
      </w:pPr>
      <w:r>
        <w:t>- распределение горизонтальной освещенности дорожного покрытия;</w:t>
      </w:r>
    </w:p>
    <w:p w:rsidR="00000000" w:rsidRDefault="003A3FCA">
      <w:pPr>
        <w:ind w:firstLine="426"/>
        <w:jc w:val="both"/>
      </w:pPr>
      <w:r>
        <w:t>- средняя освещенность дорожного покрытия;</w:t>
      </w:r>
    </w:p>
    <w:p w:rsidR="00000000" w:rsidRDefault="003A3FCA">
      <w:pPr>
        <w:ind w:firstLine="426"/>
        <w:jc w:val="both"/>
      </w:pPr>
      <w:r>
        <w:t>- коэффициент общей равномерности р</w:t>
      </w:r>
      <w:r>
        <w:t>аспределения освещенности;</w:t>
      </w:r>
    </w:p>
    <w:p w:rsidR="00000000" w:rsidRDefault="003A3FCA">
      <w:pPr>
        <w:ind w:firstLine="426"/>
        <w:jc w:val="both"/>
      </w:pPr>
      <w:r>
        <w:t>- показатель слепящего действия;</w:t>
      </w:r>
    </w:p>
    <w:p w:rsidR="00000000" w:rsidRDefault="003A3FCA">
      <w:pPr>
        <w:ind w:firstLine="426"/>
        <w:jc w:val="both"/>
      </w:pPr>
      <w:r>
        <w:t>- пороговое приращение яркостей.</w:t>
      </w:r>
    </w:p>
    <w:p w:rsidR="00000000" w:rsidRDefault="003A3FCA">
      <w:pPr>
        <w:ind w:firstLine="426"/>
        <w:jc w:val="both"/>
      </w:pPr>
      <w:r>
        <w:t>8.1.3 При светотехническом расчете установок наружного электрического освещения пешеходных пространств основными расчетными параметрами являются:</w:t>
      </w:r>
    </w:p>
    <w:p w:rsidR="00000000" w:rsidRDefault="003A3FCA">
      <w:pPr>
        <w:ind w:firstLine="426"/>
        <w:jc w:val="both"/>
      </w:pPr>
      <w:r>
        <w:t>- распределение г</w:t>
      </w:r>
      <w:r>
        <w:t>оризонтальной освещенности дорожного покрытия;</w:t>
      </w:r>
    </w:p>
    <w:p w:rsidR="00000000" w:rsidRDefault="003A3FCA">
      <w:pPr>
        <w:ind w:firstLine="426"/>
        <w:jc w:val="both"/>
      </w:pPr>
      <w:r>
        <w:t>- средняя горизонтальная освещенность дорожного покрытия;</w:t>
      </w:r>
    </w:p>
    <w:p w:rsidR="00000000" w:rsidRDefault="003A3FCA">
      <w:pPr>
        <w:ind w:firstLine="426"/>
        <w:jc w:val="both"/>
      </w:pPr>
      <w:r>
        <w:t>- распределение полуцилиндрической освещенности;</w:t>
      </w:r>
    </w:p>
    <w:p w:rsidR="00000000" w:rsidRDefault="003A3FCA">
      <w:pPr>
        <w:ind w:firstLine="426"/>
        <w:jc w:val="both"/>
      </w:pPr>
      <w:r>
        <w:t>- минимальная полуцилиндрическая освещенность.</w:t>
      </w:r>
    </w:p>
    <w:p w:rsidR="00000000" w:rsidRDefault="003A3FCA">
      <w:pPr>
        <w:ind w:firstLine="426"/>
        <w:jc w:val="both"/>
      </w:pPr>
      <w:r>
        <w:t xml:space="preserve">8.1.4 При светотехническом расчете установок наружного </w:t>
      </w:r>
      <w:r>
        <w:t>электрического освещения основными расчетными параметрами по стенам домов, примыкающих к улице, являются:</w:t>
      </w:r>
    </w:p>
    <w:p w:rsidR="00000000" w:rsidRDefault="003A3FCA">
      <w:pPr>
        <w:ind w:firstLine="426"/>
        <w:jc w:val="both"/>
      </w:pPr>
      <w:r>
        <w:t>- распределение вертикальной освещенности на стенах,</w:t>
      </w:r>
    </w:p>
    <w:p w:rsidR="00000000" w:rsidRDefault="003A3FCA">
      <w:pPr>
        <w:ind w:firstLine="426"/>
        <w:jc w:val="both"/>
      </w:pPr>
      <w:r>
        <w:t>- максимальная вертикальная освещенность.</w:t>
      </w:r>
    </w:p>
    <w:p w:rsidR="00000000" w:rsidRDefault="003A3FCA">
      <w:pPr>
        <w:ind w:firstLine="426"/>
        <w:jc w:val="both"/>
      </w:pPr>
      <w:r>
        <w:t>8.1.5 Светотехнический расчет установок наружного элект</w:t>
      </w:r>
      <w:r>
        <w:t>рического освещения следует выполнять в зависимости от типа установок (установки со светильниками или прожекторные установки).</w:t>
      </w:r>
    </w:p>
    <w:p w:rsidR="00000000" w:rsidRDefault="003A3FCA">
      <w:pPr>
        <w:ind w:firstLine="426"/>
        <w:jc w:val="both"/>
      </w:pPr>
      <w:r>
        <w:t>8.1.6 Верификация уровней освещенности и яркости, обеспечиваемых установкой наружного электрического освещения, должна осуществля</w:t>
      </w:r>
      <w:r>
        <w:t>ться посредством измерений, проводимых на месте.</w:t>
      </w:r>
    </w:p>
    <w:p w:rsidR="00000000" w:rsidRDefault="003A3FCA">
      <w:pPr>
        <w:ind w:firstLine="426"/>
        <w:jc w:val="both"/>
      </w:pPr>
      <w:r>
        <w:rPr>
          <w:b/>
          <w:bCs/>
        </w:rPr>
        <w:t>8.2Светотехнический расчет установок наружного электрического освещения со светильниками</w:t>
      </w:r>
    </w:p>
    <w:p w:rsidR="00000000" w:rsidRDefault="003A3FCA">
      <w:pPr>
        <w:ind w:firstLine="426"/>
        <w:jc w:val="both"/>
      </w:pPr>
      <w:r>
        <w:lastRenderedPageBreak/>
        <w:t>8.2.1 Светотехнический расчет установок наружного электрического освещения со светильниками допускается осуществлять т</w:t>
      </w:r>
      <w:r>
        <w:t>очечным методом и методом коэффициента использования светового потока.</w:t>
      </w:r>
    </w:p>
    <w:p w:rsidR="00000000" w:rsidRDefault="003A3FCA">
      <w:pPr>
        <w:ind w:firstLine="426"/>
        <w:jc w:val="both"/>
      </w:pPr>
      <w:r>
        <w:t>8.2.2 Исходными данными для светотехнического расчета наружного электрического освещения светильниками служат:</w:t>
      </w:r>
    </w:p>
    <w:p w:rsidR="00000000" w:rsidRDefault="003A3FCA">
      <w:pPr>
        <w:ind w:firstLine="426"/>
        <w:jc w:val="both"/>
      </w:pPr>
      <w:r>
        <w:t>- минимальная или средняя освещенность, задаваемая нормами;</w:t>
      </w:r>
    </w:p>
    <w:p w:rsidR="00000000" w:rsidRDefault="003A3FCA">
      <w:pPr>
        <w:ind w:firstLine="426"/>
        <w:jc w:val="both"/>
      </w:pPr>
      <w:r>
        <w:t>- тип источника света и светильника;</w:t>
      </w:r>
    </w:p>
    <w:p w:rsidR="00000000" w:rsidRDefault="003A3FCA">
      <w:pPr>
        <w:ind w:firstLine="426"/>
        <w:jc w:val="both"/>
      </w:pPr>
      <w:r>
        <w:t>- высота установки светильника, определяемая ограничениями слепящего действия и другими соображениями, связанными с конкретными условиями проектируемого объекта.</w:t>
      </w:r>
    </w:p>
    <w:p w:rsidR="00000000" w:rsidRDefault="003A3FCA">
      <w:pPr>
        <w:ind w:firstLine="426"/>
        <w:jc w:val="both"/>
      </w:pPr>
      <w:r>
        <w:t>8.2.3 Расчет освещенности при заданных условиях установки</w:t>
      </w:r>
      <w:r>
        <w:t xml:space="preserve"> светильников (тип опор, способ и высота подвеса), сводится к определению шага установки светильников и выбору их числа.</w:t>
      </w:r>
    </w:p>
    <w:p w:rsidR="00000000" w:rsidRDefault="003A3FCA">
      <w:pPr>
        <w:ind w:firstLine="426"/>
        <w:jc w:val="both"/>
      </w:pPr>
      <w:r>
        <w:t xml:space="preserve">Шаг установки светильников определяют, как правило, в зависимости от мощности ламп. Из нескольких возможных вариантов следует выбирать </w:t>
      </w:r>
      <w:r>
        <w:t>наиболее выгодный с учетом требований к качеству освещения.</w:t>
      </w:r>
    </w:p>
    <w:p w:rsidR="00000000" w:rsidRDefault="003A3FCA">
      <w:pPr>
        <w:ind w:firstLine="426"/>
        <w:jc w:val="both"/>
      </w:pPr>
      <w:r>
        <w:rPr>
          <w:b/>
          <w:bCs/>
        </w:rPr>
        <w:t>8.3Светотехнический расчет прожекторных установок наружного электрического освещения</w:t>
      </w:r>
    </w:p>
    <w:p w:rsidR="00000000" w:rsidRDefault="003A3FCA">
      <w:pPr>
        <w:ind w:firstLine="426"/>
        <w:jc w:val="both"/>
      </w:pPr>
      <w:r>
        <w:t>8.3.1 Предметом светотехнического расчета прожекторных установок наружного электрического освещения является:</w:t>
      </w:r>
    </w:p>
    <w:p w:rsidR="00000000" w:rsidRDefault="003A3FCA">
      <w:pPr>
        <w:ind w:firstLine="426"/>
        <w:jc w:val="both"/>
      </w:pPr>
      <w:r>
        <w:t>-</w:t>
      </w:r>
      <w:r>
        <w:t xml:space="preserve"> определение числа прожекторов, необходимых для создания нормируемой освещенности на освещаемой площадке;</w:t>
      </w:r>
    </w:p>
    <w:p w:rsidR="00000000" w:rsidRDefault="003A3FCA">
      <w:pPr>
        <w:ind w:firstLine="426"/>
        <w:jc w:val="both"/>
      </w:pPr>
      <w:r>
        <w:t>- выбор мест размещения прожекторных мачт и прожекторов;</w:t>
      </w:r>
    </w:p>
    <w:p w:rsidR="00000000" w:rsidRDefault="003A3FCA">
      <w:pPr>
        <w:ind w:firstLine="426"/>
        <w:jc w:val="both"/>
      </w:pPr>
      <w:r>
        <w:t>- определение высоты установки прожекторов над освещаемой поверхностью;</w:t>
      </w:r>
    </w:p>
    <w:p w:rsidR="00000000" w:rsidRDefault="003A3FCA">
      <w:pPr>
        <w:ind w:firstLine="426"/>
        <w:jc w:val="both"/>
      </w:pPr>
      <w:r>
        <w:t>- определение оптимал</w:t>
      </w:r>
      <w:r>
        <w:t>ьных углов наклона прожекторов в вертикальной плоскости и углов разворота в горизонтальной плоскости.</w:t>
      </w:r>
    </w:p>
    <w:p w:rsidR="00000000" w:rsidRDefault="003A3FCA">
      <w:pPr>
        <w:ind w:firstLine="426"/>
        <w:jc w:val="both"/>
      </w:pPr>
      <w:r>
        <w:t>8.3.2 Светотехнический расчет прожекторных установок наружного электрического освещения допускается осуществлять методом коэффициента использования светов</w:t>
      </w:r>
      <w:r>
        <w:t>ого потока, точечным методом и по удельной мощности.</w:t>
      </w:r>
    </w:p>
    <w:p w:rsidR="00000000" w:rsidRDefault="003A3FCA">
      <w:pPr>
        <w:ind w:firstLine="426"/>
        <w:jc w:val="both"/>
      </w:pPr>
      <w:r>
        <w:t>8.3.3 Для ориентировочных расчетов на стадии технико-экономического обоснования проекта прожекторного наружного электрического освещения, расчет рекомендуется проводить методом коэффициента использования</w:t>
      </w:r>
      <w:r>
        <w:t xml:space="preserve"> светового потока или методом удельной мощности.</w:t>
      </w:r>
    </w:p>
    <w:p w:rsidR="00000000" w:rsidRDefault="003A3FCA">
      <w:pPr>
        <w:ind w:firstLine="426"/>
        <w:jc w:val="both"/>
      </w:pPr>
      <w:r>
        <w:t>Более детальную разработку светотехнической части проекта прожекторного наружного электрического освещения осуществляют точечным методом.</w:t>
      </w:r>
    </w:p>
    <w:p w:rsidR="00000000" w:rsidRDefault="003A3FCA">
      <w:pPr>
        <w:ind w:firstLine="426"/>
        <w:jc w:val="both"/>
      </w:pPr>
      <w:r>
        <w:t>8.3.4 Выбор высоты установки прожекторов осуществляется из условия ог</w:t>
      </w:r>
      <w:r>
        <w:t xml:space="preserve">раничения слепящего действия. Минимальная допустимая высота установки прожектора и наклонно расположенного светильника прожекторного типа </w:t>
      </w:r>
      <w:r>
        <w:rPr>
          <w:i/>
          <w:iCs/>
        </w:rPr>
        <w:t xml:space="preserve">Н, </w:t>
      </w:r>
      <w:r>
        <w:t>м, определяется по формуле: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32480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 xml:space="preserve">где </w:t>
      </w:r>
      <w:r>
        <w:rPr>
          <w:i/>
          <w:iCs/>
        </w:rPr>
        <w:t>I</w:t>
      </w:r>
      <w:r>
        <w:rPr>
          <w:vertAlign w:val="subscript"/>
        </w:rPr>
        <w:t xml:space="preserve">max </w:t>
      </w:r>
      <w:r>
        <w:t>- осевая сила света прожектора, кд;</w:t>
      </w:r>
    </w:p>
    <w:p w:rsidR="00000000" w:rsidRDefault="003A3FCA">
      <w:pPr>
        <w:ind w:firstLine="426"/>
        <w:jc w:val="both"/>
      </w:pPr>
      <w:r>
        <w:rPr>
          <w:i/>
          <w:iCs/>
        </w:rPr>
        <w:t xml:space="preserve">с - </w:t>
      </w:r>
      <w:r>
        <w:t>коэффициент, выбираемый в зависимости от нормируемой освещенности в соответствие с таблицей 3.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center"/>
      </w:pPr>
      <w:r>
        <w:rPr>
          <w:b/>
          <w:bCs/>
        </w:rPr>
        <w:t xml:space="preserve">Таблица 3 </w:t>
      </w:r>
      <w:r>
        <w:t xml:space="preserve">- </w:t>
      </w:r>
      <w:r>
        <w:rPr>
          <w:b/>
          <w:bCs/>
        </w:rPr>
        <w:t xml:space="preserve">Коэффициент </w:t>
      </w:r>
      <w:r>
        <w:rPr>
          <w:i/>
          <w:iCs/>
        </w:rPr>
        <w:t xml:space="preserve">с </w:t>
      </w:r>
      <w:r>
        <w:rPr>
          <w:b/>
          <w:bCs/>
        </w:rPr>
        <w:t>для формулы (1) в зависимости от нормируемой освещенности</w:t>
      </w:r>
    </w:p>
    <w:p w:rsidR="00000000" w:rsidRDefault="003A3FCA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8"/>
        <w:gridCol w:w="917"/>
        <w:gridCol w:w="905"/>
        <w:gridCol w:w="905"/>
        <w:gridCol w:w="917"/>
        <w:gridCol w:w="905"/>
        <w:gridCol w:w="917"/>
        <w:gridCol w:w="905"/>
        <w:gridCol w:w="926"/>
      </w:tblGrid>
      <w:tr w:rsidR="00000000">
        <w:trPr>
          <w:trHeight w:val="20"/>
        </w:trPr>
        <w:tc>
          <w:tcPr>
            <w:tcW w:w="10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Нормируемая освещенность, лк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3,0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10,0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30,0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50,0</w:t>
            </w:r>
          </w:p>
        </w:tc>
      </w:tr>
      <w:tr w:rsidR="00000000">
        <w:trPr>
          <w:trHeight w:val="20"/>
        </w:trPr>
        <w:tc>
          <w:tcPr>
            <w:tcW w:w="10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 xml:space="preserve">Значение коэффициента </w:t>
            </w:r>
            <w:r>
              <w:rPr>
                <w:i/>
                <w:iCs/>
              </w:rPr>
              <w:t>с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400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2100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ПРИМЕЧАНИЕ. При одинаковом направлении осевых сил света нескольких прожекторов (светильников прожекторного типа) значение коэффициента с, приведенное в таблице, следует делить на число этих прожекторов (светильников прожекторного типа)</w:t>
            </w:r>
          </w:p>
        </w:tc>
      </w:tr>
    </w:tbl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Выбранная по указанному выше условию высота установки прожекторов должна обеспечивать выполнение других требований к обеспечиваемому установкой освещению (соотношение вертикальной и горизонтальной освещенности, равномерность освещенности и пр.).</w:t>
      </w:r>
    </w:p>
    <w:p w:rsidR="00000000" w:rsidRDefault="003A3FCA">
      <w:pPr>
        <w:ind w:firstLine="426"/>
        <w:jc w:val="both"/>
      </w:pPr>
      <w:r>
        <w:t>8.3.5 Опти</w:t>
      </w:r>
      <w:r>
        <w:t xml:space="preserve">мальный угол наклона прожектора </w:t>
      </w:r>
      <w:r>
        <w:rPr>
          <w:i/>
          <w:iCs/>
        </w:rPr>
        <w:t>θ</w:t>
      </w:r>
      <w:r>
        <w:t>, град., при освещении прожектором горизонтальной поверхности определяется по формуле: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4438650" cy="476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Е - </w:t>
      </w:r>
      <w:r>
        <w:t xml:space="preserve">освещенность (для данной кривой равной освещенности), лк; </w:t>
      </w:r>
    </w:p>
    <w:p w:rsidR="00000000" w:rsidRDefault="003A3FCA">
      <w:pPr>
        <w:ind w:firstLine="426"/>
        <w:jc w:val="both"/>
      </w:pPr>
      <w:r>
        <w:rPr>
          <w:i/>
          <w:iCs/>
        </w:rPr>
        <w:t xml:space="preserve">Н - </w:t>
      </w:r>
      <w:r>
        <w:t>высота установки прожектора, м;</w:t>
      </w:r>
    </w:p>
    <w:p w:rsidR="00000000" w:rsidRDefault="003A3FCA">
      <w:pPr>
        <w:ind w:firstLine="426"/>
        <w:jc w:val="both"/>
      </w:pPr>
      <w:r>
        <w:rPr>
          <w:i/>
          <w:iCs/>
        </w:rPr>
        <w:t xml:space="preserve">т, п - </w:t>
      </w:r>
      <w:r>
        <w:t>постоянные, которые зависят от углов рассеяния прожектора в горизонтальной и вертикальной плоскостях и определяются по формулам: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3895725" cy="8286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где β</w:t>
      </w:r>
      <w:r>
        <w:rPr>
          <w:i/>
          <w:iCs/>
          <w:vertAlign w:val="subscript"/>
        </w:rPr>
        <w:t>в</w:t>
      </w:r>
      <w:r>
        <w:t>, β</w:t>
      </w:r>
      <w:r>
        <w:rPr>
          <w:i/>
          <w:iCs/>
          <w:vertAlign w:val="subscript"/>
        </w:rPr>
        <w:t>г</w:t>
      </w:r>
      <w:r>
        <w:t xml:space="preserve">, </w:t>
      </w:r>
      <w:r>
        <w:rPr>
          <w:i/>
          <w:iCs/>
        </w:rPr>
        <w:t xml:space="preserve">- </w:t>
      </w:r>
      <w:r>
        <w:t>углы рассеяния прожектора в вертикальной и горизонтальной плоскостях соответственно, град.;</w:t>
      </w:r>
    </w:p>
    <w:p w:rsidR="00000000" w:rsidRDefault="003A3FCA">
      <w:pPr>
        <w:ind w:firstLine="426"/>
        <w:jc w:val="both"/>
      </w:pPr>
      <w:r>
        <w:rPr>
          <w:i/>
          <w:iCs/>
        </w:rPr>
        <w:t xml:space="preserve">Ф - </w:t>
      </w:r>
      <w:r>
        <w:t>световой поток ламп прожектора, лм.</w:t>
      </w:r>
    </w:p>
    <w:p w:rsidR="00000000" w:rsidRDefault="003A3FCA">
      <w:pPr>
        <w:ind w:firstLine="426"/>
        <w:jc w:val="both"/>
      </w:pPr>
      <w:r>
        <w:t xml:space="preserve">Оптимальный угол наклона прожектора </w:t>
      </w:r>
      <w:r>
        <w:rPr>
          <w:i/>
          <w:iCs/>
        </w:rPr>
        <w:t xml:space="preserve">θ, </w:t>
      </w:r>
      <w:r>
        <w:t>град., при освещении прожекто</w:t>
      </w:r>
      <w:r>
        <w:t>ром вертикальной поверхности определяется по формуле: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3400425" cy="5334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 xml:space="preserve">где </w:t>
      </w:r>
      <w:r>
        <w:rPr>
          <w:i/>
          <w:iCs/>
        </w:rPr>
        <w:t>I</w:t>
      </w:r>
      <w:r>
        <w:rPr>
          <w:vertAlign w:val="subscript"/>
        </w:rPr>
        <w:t>0</w:t>
      </w:r>
      <w:r>
        <w:t xml:space="preserve"> - осевая сила света прожектора, кд.</w:t>
      </w:r>
    </w:p>
    <w:p w:rsidR="00000000" w:rsidRDefault="003A3FCA">
      <w:pPr>
        <w:ind w:firstLine="426"/>
        <w:jc w:val="both"/>
      </w:pPr>
      <w:r>
        <w:rPr>
          <w:b/>
          <w:bCs/>
        </w:rPr>
        <w:t>8.4 Проведение верификационных измерений</w:t>
      </w:r>
    </w:p>
    <w:p w:rsidR="00000000" w:rsidRDefault="003A3FCA">
      <w:pPr>
        <w:ind w:firstLine="426"/>
        <w:jc w:val="both"/>
      </w:pPr>
      <w:r>
        <w:t xml:space="preserve">8.4.1 </w:t>
      </w:r>
      <w:r>
        <w:t>Измерения освещенности и яркости проводят прямым методом (замером люксметрами и яркомерами соответственно).</w:t>
      </w:r>
    </w:p>
    <w:p w:rsidR="00000000" w:rsidRDefault="003A3FCA">
      <w:pPr>
        <w:ind w:firstLine="426"/>
        <w:jc w:val="both"/>
      </w:pPr>
      <w:r>
        <w:t>Допускается измерять яркость поверхности дорожного покрытия косвенным методом (через измерение освещенности ее отдельных элементарных площадок с пос</w:t>
      </w:r>
      <w:r>
        <w:t>ледующим усреднением и пересчетом с использованием соответствующих коэффициентов пересчета).</w:t>
      </w:r>
    </w:p>
    <w:p w:rsidR="00000000" w:rsidRDefault="003A3FCA">
      <w:pPr>
        <w:ind w:firstLine="426"/>
        <w:jc w:val="both"/>
      </w:pPr>
      <w:r>
        <w:t>8.4.2 Расчетное поле и сетку расчетных и измерительных точек для верификационных измерений следует определять:</w:t>
      </w:r>
    </w:p>
    <w:p w:rsidR="00000000" w:rsidRDefault="003A3FCA">
      <w:pPr>
        <w:ind w:firstLine="426"/>
        <w:jc w:val="both"/>
      </w:pPr>
      <w:r>
        <w:t>- для улично-дорожной сети, пешеходных пространств и</w:t>
      </w:r>
      <w:r>
        <w:t xml:space="preserve"> засвечиваемых окон зданий - в соответствии с приложением В;</w:t>
      </w:r>
    </w:p>
    <w:p w:rsidR="00000000" w:rsidRDefault="003A3FCA">
      <w:pPr>
        <w:ind w:firstLine="426"/>
        <w:jc w:val="both"/>
      </w:pPr>
      <w:r>
        <w:t xml:space="preserve">- для открытых спортивных сооружений - в соответствии с </w:t>
      </w:r>
      <w:hyperlink r:id="rId51" w:anchor="sub_id=4" w:history="1">
        <w:r>
          <w:rPr>
            <w:rStyle w:val="a3"/>
          </w:rPr>
          <w:t>приложением Г</w:t>
        </w:r>
      </w:hyperlink>
      <w:r>
        <w:t>.</w:t>
      </w:r>
    </w:p>
    <w:p w:rsidR="00000000" w:rsidRDefault="003A3FCA">
      <w:pPr>
        <w:ind w:firstLine="426"/>
        <w:jc w:val="both"/>
      </w:pPr>
      <w:r>
        <w:t>8.4.3 Среднюю освещенность улиц, дорог, площа</w:t>
      </w:r>
      <w:r>
        <w:t>дей, пешеходных пространств определяют как среднеарифметическое значений измеренных освещенностей в расчетных точках дорожного покрытия.</w:t>
      </w:r>
    </w:p>
    <w:p w:rsidR="00000000" w:rsidRDefault="003A3FCA">
      <w:pPr>
        <w:ind w:firstLine="426"/>
        <w:jc w:val="both"/>
      </w:pPr>
      <w:r>
        <w:lastRenderedPageBreak/>
        <w:t>8.4.4 Среднюю вертикальную освещенность на внешней поверхности окна при измерении уровня засветки окон зданий, создавае</w:t>
      </w:r>
      <w:r>
        <w:t>мой всеми видами установок наружного электрического освещения, включая уличное, архитектурное, рекламное и витринное, определяют как среднеарифметическое значение измеренных вертикальных освещенностей в расчетных точках.</w:t>
      </w:r>
    </w:p>
    <w:p w:rsidR="00000000" w:rsidRDefault="003A3FCA">
      <w:r>
        <w:t>8.4.5 При отклонении напряжения сет</w:t>
      </w:r>
      <w:r>
        <w:t xml:space="preserve">и от номинального значения более чем на 5% фактическое значение освещенности </w:t>
      </w:r>
    </w:p>
    <w:p w:rsidR="00000000" w:rsidRDefault="003A3FCA">
      <w:r>
        <w:rPr>
          <w:noProof/>
        </w:rPr>
        <w:drawing>
          <wp:inline distT="0" distB="0" distL="0" distR="0">
            <wp:extent cx="76200" cy="1619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лк, определяю</w:t>
      </w:r>
      <w:r>
        <w:t>т по формуле:</w:t>
      </w:r>
    </w:p>
    <w:p w:rsidR="00000000" w:rsidRDefault="003A3FCA"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4133850" cy="5238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Е - </w:t>
      </w:r>
      <w:r>
        <w:t xml:space="preserve">освещенность, рассчитанная в соответствии с </w:t>
      </w:r>
      <w:hyperlink r:id="rId56" w:anchor="sub_id=80403" w:history="1">
        <w:r>
          <w:rPr>
            <w:rStyle w:val="a3"/>
          </w:rPr>
          <w:t>8.4.3</w:t>
        </w:r>
      </w:hyperlink>
      <w:r>
        <w:t xml:space="preserve">, </w:t>
      </w:r>
      <w:hyperlink r:id="rId57" w:anchor="sub_id=80404" w:history="1">
        <w:r>
          <w:rPr>
            <w:rStyle w:val="a3"/>
          </w:rPr>
          <w:t>8.4.4</w:t>
        </w:r>
      </w:hyperlink>
      <w:r>
        <w:t xml:space="preserve">, лк; </w:t>
      </w:r>
    </w:p>
    <w:p w:rsidR="00000000" w:rsidRDefault="003A3FCA">
      <w:pPr>
        <w:ind w:firstLine="426"/>
        <w:jc w:val="both"/>
      </w:pPr>
      <w:r>
        <w:rPr>
          <w:i/>
          <w:iCs/>
        </w:rPr>
        <w:t>U</w:t>
      </w:r>
      <w:r>
        <w:rPr>
          <w:i/>
          <w:iCs/>
          <w:vertAlign w:val="subscript"/>
        </w:rPr>
        <w:t>ном</w:t>
      </w:r>
      <w:r>
        <w:rPr>
          <w:i/>
          <w:iCs/>
        </w:rPr>
        <w:t xml:space="preserve"> - </w:t>
      </w:r>
      <w:r>
        <w:t>номинальное напряжение сети, В;</w:t>
      </w:r>
    </w:p>
    <w:p w:rsidR="00000000" w:rsidRDefault="003A3FCA">
      <w:pPr>
        <w:ind w:firstLine="426"/>
        <w:jc w:val="both"/>
      </w:pPr>
      <w:r>
        <w:rPr>
          <w:i/>
          <w:iCs/>
        </w:rPr>
        <w:t>U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- </w:t>
      </w:r>
      <w:r>
        <w:t xml:space="preserve">среднее значение напряжения сети, определяемое как среднеарифметическое напряжения сети в начале измерения и напряжения сети в конце измерения, В; </w:t>
      </w:r>
    </w:p>
    <w:p w:rsidR="00000000" w:rsidRDefault="003A3FCA">
      <w:pPr>
        <w:ind w:firstLine="426"/>
        <w:jc w:val="both"/>
      </w:pPr>
      <w:r>
        <w:rPr>
          <w:i/>
          <w:iCs/>
        </w:rPr>
        <w:t xml:space="preserve">К - </w:t>
      </w:r>
      <w:r>
        <w:t>коэффициент, принимаемый равным:</w:t>
      </w:r>
    </w:p>
    <w:p w:rsidR="00000000" w:rsidRDefault="003A3FCA">
      <w:pPr>
        <w:ind w:firstLine="426"/>
        <w:jc w:val="both"/>
      </w:pPr>
      <w:r>
        <w:t>- для светодиодов с импульсными блоками питания - 0;</w:t>
      </w:r>
    </w:p>
    <w:p w:rsidR="00000000" w:rsidRDefault="003A3FCA">
      <w:pPr>
        <w:ind w:firstLine="426"/>
        <w:jc w:val="both"/>
      </w:pPr>
      <w:r>
        <w:t>- для люминесцентн</w:t>
      </w:r>
      <w:r>
        <w:t>ых ламп при использовании емкостного балластного сопротивления и электронных пускорегулирующих аппаратов - 1;</w:t>
      </w:r>
    </w:p>
    <w:p w:rsidR="00000000" w:rsidRDefault="003A3FCA">
      <w:pPr>
        <w:ind w:firstLine="426"/>
        <w:jc w:val="both"/>
      </w:pPr>
      <w:r>
        <w:t>- для люминесцентных ламп при использовании индуктивного балластного сопротивления и дуговых ртутных ламп - 2;</w:t>
      </w:r>
    </w:p>
    <w:p w:rsidR="00000000" w:rsidRDefault="003A3FCA">
      <w:pPr>
        <w:ind w:firstLine="426"/>
        <w:jc w:val="both"/>
      </w:pPr>
      <w:r>
        <w:t>- для металлогалогенных ламп, дугов</w:t>
      </w:r>
      <w:r>
        <w:t>ых ртутных ламп с излучающими добавками, натриевых ламп высокого давления - 3;</w:t>
      </w:r>
    </w:p>
    <w:p w:rsidR="00000000" w:rsidRDefault="003A3FCA">
      <w:pPr>
        <w:ind w:firstLine="426"/>
        <w:jc w:val="both"/>
      </w:pPr>
      <w:r>
        <w:t>- для ламп накаливания и светодиодов с мостовыми схемами включения - 4.</w:t>
      </w:r>
    </w:p>
    <w:p w:rsidR="00000000" w:rsidRDefault="003A3FCA">
      <w:pPr>
        <w:ind w:firstLine="426"/>
        <w:jc w:val="both"/>
      </w:pPr>
      <w:r>
        <w:t xml:space="preserve">8.4.6 Средняя яркость дорожного покрытия определяется аналогично средней освещенности в соответствии с </w:t>
      </w:r>
      <w:hyperlink r:id="rId58" w:anchor="sub_id=80403" w:history="1">
        <w:r>
          <w:rPr>
            <w:rStyle w:val="a3"/>
          </w:rPr>
          <w:t>8.4.3</w:t>
        </w:r>
      </w:hyperlink>
      <w:r>
        <w:t xml:space="preserve">, </w:t>
      </w:r>
      <w:hyperlink r:id="rId59" w:anchor="sub_id=80404" w:history="1">
        <w:r>
          <w:rPr>
            <w:rStyle w:val="a3"/>
          </w:rPr>
          <w:t>8.4.4</w:t>
        </w:r>
      </w:hyperlink>
      <w:r>
        <w:t xml:space="preserve">, </w:t>
      </w:r>
      <w:hyperlink r:id="rId60" w:anchor="sub_id=80405" w:history="1">
        <w:r>
          <w:rPr>
            <w:rStyle w:val="a3"/>
          </w:rPr>
          <w:t>8.4.5</w:t>
        </w:r>
      </w:hyperlink>
      <w:r>
        <w:t>.</w:t>
      </w:r>
    </w:p>
    <w:p w:rsidR="00000000" w:rsidRDefault="003A3FCA">
      <w:pPr>
        <w:ind w:firstLine="426"/>
        <w:jc w:val="both"/>
      </w:pPr>
      <w:r>
        <w:t>8.4.7 Установка наружного электрического освещения соответствует нормам при условии соблюдения отношения:</w:t>
      </w:r>
    </w:p>
    <w:p w:rsidR="00000000" w:rsidRDefault="003A3FCA">
      <w:pPr>
        <w:ind w:firstLine="426"/>
        <w:jc w:val="both"/>
      </w:pPr>
      <w:r>
        <w:rPr>
          <w:i/>
          <w:iCs/>
        </w:rPr>
        <w:t> </w:t>
      </w:r>
    </w:p>
    <w:p w:rsidR="00000000" w:rsidRDefault="003A3FCA">
      <w:pPr>
        <w:ind w:firstLine="426"/>
        <w:jc w:val="center"/>
      </w:pPr>
      <w:r>
        <w:rPr>
          <w:i/>
          <w:iCs/>
        </w:rPr>
        <w:t>Е ≥ 0,9К</w:t>
      </w:r>
      <w:r>
        <w:rPr>
          <w:i/>
          <w:iCs/>
          <w:vertAlign w:val="subscript"/>
        </w:rPr>
        <w:t>з</w:t>
      </w:r>
      <w:r>
        <w:rPr>
          <w:i/>
          <w:iCs/>
        </w:rPr>
        <w:t>Е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,                                </w:t>
      </w:r>
      <w:r>
        <w:t>(7)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Е - </w:t>
      </w:r>
      <w:r>
        <w:t xml:space="preserve">измеренная освещенность (по </w:t>
      </w:r>
      <w:hyperlink r:id="rId61" w:anchor="sub_id=80403" w:history="1">
        <w:r>
          <w:rPr>
            <w:rStyle w:val="a3"/>
          </w:rPr>
          <w:t>8.4.3</w:t>
        </w:r>
      </w:hyperlink>
      <w:r>
        <w:t xml:space="preserve">, </w:t>
      </w:r>
      <w:hyperlink r:id="rId62" w:anchor="sub_id=80404" w:history="1">
        <w:r>
          <w:rPr>
            <w:rStyle w:val="a3"/>
          </w:rPr>
          <w:t>8.4.4</w:t>
        </w:r>
      </w:hyperlink>
      <w:r>
        <w:t xml:space="preserve">, </w:t>
      </w:r>
      <w:hyperlink r:id="rId63" w:anchor="sub_id=80405" w:history="1">
        <w:r>
          <w:rPr>
            <w:rStyle w:val="a3"/>
          </w:rPr>
          <w:t>8.4.5</w:t>
        </w:r>
      </w:hyperlink>
      <w:r>
        <w:t xml:space="preserve">), лк; </w:t>
      </w:r>
    </w:p>
    <w:p w:rsidR="00000000" w:rsidRDefault="003A3FCA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з</w:t>
      </w:r>
      <w:r>
        <w:rPr>
          <w:i/>
          <w:iCs/>
        </w:rPr>
        <w:t xml:space="preserve"> - </w:t>
      </w:r>
      <w:r>
        <w:t>нормативный коэффициент з</w:t>
      </w:r>
      <w:r>
        <w:t xml:space="preserve">апаса; </w:t>
      </w:r>
    </w:p>
    <w:p w:rsidR="00000000" w:rsidRDefault="003A3FC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>нормируемая освещенность, лк.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3A3FC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center"/>
      </w:pPr>
      <w:r>
        <w:rPr>
          <w:b/>
          <w:bCs/>
        </w:rPr>
        <w:t> </w:t>
      </w:r>
    </w:p>
    <w:p w:rsidR="00000000" w:rsidRDefault="003A3FCA">
      <w:pPr>
        <w:jc w:val="center"/>
      </w:pPr>
      <w:r>
        <w:rPr>
          <w:rStyle w:val="s1"/>
        </w:rPr>
        <w:t xml:space="preserve">Особенности проектирования наружного электрического освещения </w:t>
      </w:r>
      <w:r>
        <w:rPr>
          <w:rStyle w:val="s1"/>
        </w:rPr>
        <w:br/>
        <w:t>с учетом требований Гражданской обороны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 xml:space="preserve">А.1 Система управления наружным электрическим освещением должна допускать </w:t>
      </w:r>
      <w:r>
        <w:t>выключение установок наружного освещения в режиме частичного и полного отключения.</w:t>
      </w:r>
    </w:p>
    <w:p w:rsidR="00000000" w:rsidRDefault="003A3FCA">
      <w:pPr>
        <w:ind w:firstLine="426"/>
        <w:jc w:val="both"/>
      </w:pPr>
      <w:r>
        <w:t>ПРИМЕЧАНИЕ 1. В данном своде правил рассматриваются только электрический и светотехнический способы световой маркировки, как непосредственно касающиеся проектирования наружн</w:t>
      </w:r>
      <w:r>
        <w:t xml:space="preserve">ого электрического освещения. Технологический и механический способы световой маскировки не рассматриваются, поскольку технологический способ применяется к производствам, лежащим вне области применения настоящего свода правил, </w:t>
      </w:r>
      <w:r>
        <w:lastRenderedPageBreak/>
        <w:t>а механический способ применя</w:t>
      </w:r>
      <w:r>
        <w:t>ется к маскировке внутреннего освещения, также не входящего в область применения настоящего свода правил.</w:t>
      </w:r>
    </w:p>
    <w:p w:rsidR="00000000" w:rsidRDefault="003A3FCA">
      <w:pPr>
        <w:ind w:firstLine="426"/>
        <w:jc w:val="both"/>
      </w:pPr>
      <w:r>
        <w:t>ПРИМЕЧАНИЕ 2. Электрический способ световой маскировки заключается в отключении наружного электрического освещения (полном или частичном). Светотехнич</w:t>
      </w:r>
      <w:r>
        <w:t>еский способ световой маскировки заключается в снижении уровня освещения и в оборудовании осветительных установок маскировочными приспособлениями.</w:t>
      </w:r>
    </w:p>
    <w:p w:rsidR="00000000" w:rsidRDefault="003A3FCA">
      <w:pPr>
        <w:ind w:firstLine="426"/>
        <w:jc w:val="both"/>
      </w:pPr>
      <w:r>
        <w:t>ПРИМЕЧАНИЕ 3. Выбор способа или сочетания способов световой маскировки должен производиться в каждом конкретном случае на основе техническо-экономического сравнения разрабатываемых вариантов и согласовываться с местными органами Гражданской обороны.</w:t>
      </w:r>
    </w:p>
    <w:p w:rsidR="00000000" w:rsidRDefault="003A3FCA">
      <w:pPr>
        <w:ind w:firstLine="426"/>
        <w:jc w:val="both"/>
      </w:pPr>
      <w:r>
        <w:t xml:space="preserve">А.2 В </w:t>
      </w:r>
      <w:r>
        <w:t>режиме частичного затемнения:</w:t>
      </w:r>
    </w:p>
    <w:p w:rsidR="00000000" w:rsidRDefault="003A3FCA">
      <w:pPr>
        <w:ind w:firstLine="426"/>
        <w:jc w:val="both"/>
      </w:pPr>
      <w:r>
        <w:t>- наружное электрическое освещение территорий стадионов и выставок (за исключением маскировочного освещения), установки архитектурной подсветки и световой рекламы должны отключаться от источников питания или электрических сете</w:t>
      </w:r>
      <w:r>
        <w:t>й, при этом должна быть исключена возможность их местного включения;</w:t>
      </w:r>
    </w:p>
    <w:p w:rsidR="00000000" w:rsidRDefault="003A3FCA">
      <w:pPr>
        <w:ind w:firstLine="426"/>
        <w:jc w:val="both"/>
      </w:pPr>
      <w:r>
        <w:t>- должно обеспечиваться снижение уровней наружного освещения улично-дорожной сети, пешеходных пространств, территорий парков, детских, учебных, лечебно-оздоровительных учреждений и других</w:t>
      </w:r>
      <w:r>
        <w:t xml:space="preserve"> объектов с нормируемыми значениями в обычном режиме средней яркости 0,4 кд/м</w:t>
      </w:r>
      <w:r>
        <w:rPr>
          <w:vertAlign w:val="superscript"/>
        </w:rPr>
        <w:t>2</w:t>
      </w:r>
      <w:r>
        <w:t xml:space="preserve"> или средней освещенности 4 лк и выше путем выключения до половины светильников. При этом не допускается отключение двух рядом расположенных светильников;</w:t>
      </w:r>
    </w:p>
    <w:p w:rsidR="00000000" w:rsidRDefault="003A3FCA">
      <w:pPr>
        <w:ind w:firstLine="426"/>
        <w:jc w:val="both"/>
      </w:pPr>
      <w:r>
        <w:t>- снижение освещенности</w:t>
      </w:r>
      <w:r>
        <w:t xml:space="preserve"> улично-дорожной сети с нормируемыми величинами средней яркости 0,2 кд/м</w:t>
      </w:r>
      <w:r>
        <w:rPr>
          <w:vertAlign w:val="superscript"/>
        </w:rPr>
        <w:t>2</w:t>
      </w:r>
      <w:r>
        <w:t xml:space="preserve"> или средней освещенности 2 лк и ниже, пешеходных пространств, автомобильных стоянок (парковок) и внутренних служебно-хозяйственных и пожарных проездов, а также улиц и дорог сельских </w:t>
      </w:r>
      <w:r>
        <w:t>населенных пунктов предусматривать не следует;</w:t>
      </w:r>
    </w:p>
    <w:p w:rsidR="00000000" w:rsidRDefault="003A3FCA">
      <w:pPr>
        <w:ind w:firstLine="426"/>
        <w:jc w:val="both"/>
      </w:pPr>
      <w:r>
        <w:t>- наружные светильники, устанавливаемые над входами (въездами) в здания и сооружения, как правило, отключаться не должны.</w:t>
      </w:r>
    </w:p>
    <w:p w:rsidR="00000000" w:rsidRDefault="003A3FCA">
      <w:pPr>
        <w:ind w:firstLine="426"/>
        <w:jc w:val="both"/>
      </w:pPr>
      <w:r>
        <w:t>А.3 В режиме полного затемнения всё наружное электрическое освещение должно быть выключ</w:t>
      </w:r>
      <w:r>
        <w:t>ено (за исключением маскировочного освещения) и должна быть исключена возможность включения освещения средствами автоматики.</w:t>
      </w:r>
    </w:p>
    <w:p w:rsidR="00000000" w:rsidRDefault="003A3FCA">
      <w:pPr>
        <w:ind w:firstLine="426"/>
        <w:jc w:val="both"/>
      </w:pPr>
      <w:r>
        <w:t>А.4 Система управления наружным освещением и принятые светотехнические и электротехнические решения установок наружного освещения д</w:t>
      </w:r>
      <w:r>
        <w:t>олжны обеспечивать переход:</w:t>
      </w:r>
    </w:p>
    <w:p w:rsidR="00000000" w:rsidRDefault="003A3FCA">
      <w:pPr>
        <w:ind w:firstLine="426"/>
        <w:jc w:val="both"/>
      </w:pPr>
      <w:r>
        <w:t>- с обычного освещения на режим частичного затемнения в течение не более чем 16 ч.;</w:t>
      </w:r>
    </w:p>
    <w:p w:rsidR="00000000" w:rsidRDefault="003A3FCA">
      <w:pPr>
        <w:ind w:firstLine="426"/>
        <w:jc w:val="both"/>
      </w:pPr>
      <w:r>
        <w:t>- с режима частичного затемнения на режим полного затемнения не более чем за 3 мин.</w:t>
      </w:r>
    </w:p>
    <w:p w:rsidR="00000000" w:rsidRDefault="003A3FCA">
      <w:pPr>
        <w:ind w:firstLine="426"/>
        <w:jc w:val="both"/>
      </w:pPr>
      <w:r>
        <w:t xml:space="preserve">А.5 В режиме частичного затемнения должно предусматриваться </w:t>
      </w:r>
      <w:r>
        <w:t>завершение подготовки к введению полного затемнения. Режим частичного затемнения не должен нарушать жизнедеятельность городских и сельских населенных пунктов, а также организаций и предприятий. Режим частичного затемнения после его введения сигналом Гражда</w:t>
      </w:r>
      <w:r>
        <w:t>нской обороны должен действовать постоянно, кроме времени действия режима полного затемнения.</w:t>
      </w:r>
    </w:p>
    <w:p w:rsidR="00000000" w:rsidRDefault="003A3FCA">
      <w:pPr>
        <w:ind w:firstLine="426"/>
        <w:jc w:val="both"/>
      </w:pPr>
      <w:r>
        <w:t xml:space="preserve">А.6 Наружные установки маскировочного освещения должны предусматриваться на опасных участках путей эвакуации населения к защитным сооружениям и у входов в них, а </w:t>
      </w:r>
      <w:r>
        <w:t>также в иных местах в соответствии с потребностями Гражданской обороны.</w:t>
      </w:r>
    </w:p>
    <w:p w:rsidR="00000000" w:rsidRDefault="003A3FCA">
      <w:pPr>
        <w:ind w:firstLine="426"/>
        <w:jc w:val="both"/>
      </w:pPr>
      <w:r>
        <w:t>А.7 Требуемые инженерно-техническими мероприятиями Гражданской обороны наружные установки маскировочного освещения предусматривают в составе сетей нормального наружного освещения, отде</w:t>
      </w:r>
      <w:r>
        <w:t>льные сети не предусматривают. В составе наружных установок маскировочного освещения предусматривают:</w:t>
      </w:r>
    </w:p>
    <w:p w:rsidR="00000000" w:rsidRDefault="003A3FCA">
      <w:pPr>
        <w:ind w:firstLine="426"/>
        <w:jc w:val="both"/>
      </w:pPr>
      <w:r>
        <w:t>- установки общего маскировочного освещения;</w:t>
      </w:r>
    </w:p>
    <w:p w:rsidR="00000000" w:rsidRDefault="003A3FCA">
      <w:pPr>
        <w:ind w:firstLine="426"/>
        <w:jc w:val="both"/>
      </w:pPr>
      <w:r>
        <w:t>- световые указатели.</w:t>
      </w:r>
    </w:p>
    <w:p w:rsidR="00000000" w:rsidRDefault="003A3FCA">
      <w:pPr>
        <w:ind w:firstLine="426"/>
        <w:jc w:val="both"/>
      </w:pPr>
      <w:r>
        <w:t>ПРИМЕЧАНИЕ. Установки общего маскировочного освещения предназначены для освещения в реж</w:t>
      </w:r>
      <w:r>
        <w:t xml:space="preserve">име полного затемнения. Световые указатели устанавливают для </w:t>
      </w:r>
      <w:r>
        <w:lastRenderedPageBreak/>
        <w:t>информации об объектах Гражданской обороны и обозначения въездов на территории, углов зданий, выходов и ориентиров для проходов.</w:t>
      </w:r>
    </w:p>
    <w:p w:rsidR="00000000" w:rsidRDefault="003A3FCA">
      <w:pPr>
        <w:ind w:firstLine="426"/>
        <w:jc w:val="both"/>
      </w:pPr>
      <w:r>
        <w:t>А.8 Светильники наружного маскировочного освещения, предназначенны</w:t>
      </w:r>
      <w:r>
        <w:t>е для применения в режиме полного затемнения, должны удовлетворять следующим требованиям:</w:t>
      </w:r>
    </w:p>
    <w:p w:rsidR="00000000" w:rsidRDefault="003A3FCA">
      <w:pPr>
        <w:ind w:firstLine="426"/>
        <w:jc w:val="both"/>
      </w:pPr>
      <w:r>
        <w:t>- весь световой поток светильников должен быть направлен в нижнюю полусферу;</w:t>
      </w:r>
    </w:p>
    <w:p w:rsidR="00000000" w:rsidRDefault="003A3FCA">
      <w:pPr>
        <w:ind w:firstLine="426"/>
        <w:jc w:val="both"/>
      </w:pPr>
      <w:r>
        <w:t>- создаваемая светильниками освещенность поверхностей не должна превышать 0,2 лк;</w:t>
      </w:r>
    </w:p>
    <w:p w:rsidR="00000000" w:rsidRDefault="003A3FCA">
      <w:pPr>
        <w:ind w:firstLine="426"/>
        <w:jc w:val="both"/>
      </w:pPr>
      <w:r>
        <w:t>- свети</w:t>
      </w:r>
      <w:r>
        <w:t>льники должны иметь защитный угол не менее 15° и жесткое крепление, исключающее возможность изменения их положения под воздействием ветра со скоростью до 40 м/с.</w:t>
      </w:r>
    </w:p>
    <w:p w:rsidR="00000000" w:rsidRDefault="003A3FCA">
      <w:pPr>
        <w:ind w:firstLine="426"/>
        <w:jc w:val="both"/>
      </w:pPr>
      <w:r>
        <w:t>Использование светильников с люминесцентными лампами, консольных светильников с газоразрядными</w:t>
      </w:r>
      <w:r>
        <w:t xml:space="preserve"> источниками высокого давления, венчающих светильников для маскировочного освещения не допускается. Для маскировочного освещения рекомендуется использовать лампы накаливания и светодиодные лампы.</w:t>
      </w:r>
    </w:p>
    <w:p w:rsidR="00000000" w:rsidRDefault="003A3FCA">
      <w:pPr>
        <w:ind w:firstLine="426"/>
        <w:jc w:val="both"/>
      </w:pPr>
      <w:r>
        <w:t>При расчете наружных установок маскировочного освещения коэф</w:t>
      </w:r>
      <w:r>
        <w:t>фициент запаса следует принимать равным 1.</w:t>
      </w:r>
    </w:p>
    <w:p w:rsidR="00000000" w:rsidRDefault="003A3FCA">
      <w:pPr>
        <w:ind w:firstLine="426"/>
        <w:jc w:val="both"/>
      </w:pPr>
      <w:r>
        <w:t>А.9 Светильники наружного маскировочного освещения следует размещать так, чтобы их световой поток не падал на стены строений и другие вертикальные поверхности; их установка вблизи поверхностей с зеркальным характе</w:t>
      </w:r>
      <w:r>
        <w:t>ром отражения не допускается.</w:t>
      </w:r>
    </w:p>
    <w:p w:rsidR="00000000" w:rsidRDefault="003A3FCA">
      <w:pPr>
        <w:ind w:firstLine="426"/>
        <w:jc w:val="both"/>
      </w:pPr>
      <w:r>
        <w:t>А.10 Диспетчерский пункт наружного освещения должен иметь прямую телефонную связь с пунктом управления Гражданской обороны. В качестве дублирующей связи следует предусматривать радиосвязь.</w:t>
      </w:r>
    </w:p>
    <w:p w:rsidR="00000000" w:rsidRDefault="003A3FCA">
      <w:pPr>
        <w:ind w:firstLine="426"/>
        <w:jc w:val="both"/>
      </w:pPr>
      <w:r>
        <w:t>А. 11 При проведении реконструкции си</w:t>
      </w:r>
      <w:r>
        <w:t>стемы наружного электрического освещения населенных пунктов и отдельных объектов хозяйствования, обусловленной инженерно-техническими мероприятиями световой маскировки, проектирование реконструкции электрических сетей следует осуществлять, разделяя электри</w:t>
      </w:r>
      <w:r>
        <w:t>ческие сети на питающие потребителей, продолжающих работу и прекращающих ее в режиме полного затемнения, путем оптимальной группировки потребителей.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3A3FC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jc w:val="center"/>
      </w:pPr>
      <w:r>
        <w:rPr>
          <w:rStyle w:val="s1"/>
        </w:rPr>
        <w:t xml:space="preserve">Типичные схемы размещения светильников наружного освещения на </w:t>
      </w:r>
      <w:r>
        <w:rPr>
          <w:rStyle w:val="s1"/>
        </w:rPr>
        <w:br/>
        <w:t>одноуровневых пересечениях при использовании 10- или 12-метровых опор</w:t>
      </w:r>
    </w:p>
    <w:p w:rsidR="00000000" w:rsidRDefault="003A3FCA">
      <w:pPr>
        <w:ind w:firstLine="426"/>
        <w:jc w:val="center"/>
      </w:pPr>
      <w:r>
        <w:rPr>
          <w:color w:val="auto"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Б.1 Т-образные перекрестки</w:t>
      </w:r>
    </w:p>
    <w:p w:rsidR="00000000" w:rsidRDefault="003A3FCA">
      <w:pPr>
        <w:ind w:firstLine="426"/>
        <w:jc w:val="both"/>
      </w:pPr>
      <w:r>
        <w:t>Б.1.1 Типичная схема размещения светильников на Т-образном перекрестке на прямолинейном участк</w:t>
      </w:r>
      <w:r>
        <w:t>е главной дороги показана на рисунке Б.1.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581650" cy="36480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Б.1.2 Проектное решение для Т-образного перекр</w:t>
      </w:r>
      <w:r>
        <w:t>естка на криволинейном участке (закруглении) главной дороги может отличаться от решения, приемлемого для перекрестка, показанного на рисунке Б.1.</w:t>
      </w:r>
    </w:p>
    <w:p w:rsidR="00000000" w:rsidRDefault="003A3FCA">
      <w:pPr>
        <w:ind w:firstLine="426"/>
        <w:jc w:val="both"/>
      </w:pPr>
      <w:r>
        <w:t>Типичные схемы размещения светильников на Т-образном перекрестке на криволинейном участке (закруглении) главно</w:t>
      </w:r>
      <w:r>
        <w:t>й дороги показаны:</w:t>
      </w:r>
    </w:p>
    <w:p w:rsidR="00000000" w:rsidRDefault="003A3FCA">
      <w:pPr>
        <w:ind w:firstLine="426"/>
        <w:jc w:val="both"/>
      </w:pPr>
      <w:r>
        <w:t>- на рисунке Б.2а) - для Т-образного перекрестка, на котором второстепенная дорога подходит с внешней стороны закругления главной дороги;</w:t>
      </w:r>
    </w:p>
    <w:p w:rsidR="00000000" w:rsidRDefault="003A3FCA">
      <w:pPr>
        <w:ind w:firstLine="426"/>
        <w:jc w:val="both"/>
      </w:pPr>
      <w:r>
        <w:t>- на рисунке Б.2б) - для Т-образного перекрестка, на котором второстепенная дорога подходит с внутр</w:t>
      </w:r>
      <w:r>
        <w:t>енней стороны закругления главной дороги.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495925" cy="61436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Б.1.3 Два Т-образных перекрестка (X и Y на рис</w:t>
      </w:r>
      <w:r>
        <w:t>унке Б.3), расположенных в шахматном порядке на противоположных сторонах главной дороги, как показано на рисунке Б.3, могут рассматриваться независимо друг от друга как раздельные конфликтные зоны. Если перекрестки расположены близко друг к другу и рассмат</w:t>
      </w:r>
      <w:r>
        <w:t>риваются как одна конфликтная зона, для светильников А и Б, показанных на рисунке, могут выбираться компромиссные решения.</w:t>
      </w:r>
    </w:p>
    <w:p w:rsidR="00000000" w:rsidRDefault="003A3FCA">
      <w:pPr>
        <w:ind w:firstLine="426"/>
        <w:jc w:val="both"/>
      </w:pPr>
      <w:r>
        <w:rPr>
          <w:b/>
          <w:bCs/>
        </w:rPr>
        <w:t>Б.2 Перекрестки</w:t>
      </w:r>
    </w:p>
    <w:p w:rsidR="00000000" w:rsidRDefault="003A3FCA">
      <w:pPr>
        <w:ind w:firstLine="426"/>
        <w:jc w:val="both"/>
      </w:pPr>
      <w:r>
        <w:t xml:space="preserve">Типичная схема размещения светильников на перекрестке показана на рисунке Б.4. Светильники А, показанные на рисунке, </w:t>
      </w:r>
      <w:r>
        <w:t>служат для освещения автотранспортных средств, проезжающих через перекресток или поворачивающих на перекрестке.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505450" cy="3810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5467350" cy="44481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Б.3 Ү-образные перекрестки</w:t>
      </w:r>
    </w:p>
    <w:p w:rsidR="00000000" w:rsidRDefault="003A3FCA">
      <w:pPr>
        <w:ind w:firstLine="426"/>
        <w:jc w:val="both"/>
      </w:pPr>
      <w:r>
        <w:t>Б.3.1 Типичная схема шахматного размещения светильников на Ү-об</w:t>
      </w:r>
      <w:r>
        <w:t xml:space="preserve">разных перекрестках показана на рисунке Б.5. Светильник А, показанный на рисунке, освещает </w:t>
      </w:r>
      <w:r>
        <w:lastRenderedPageBreak/>
        <w:t>конфигурацию проезжей части и автотранспортные средства, движущиеся по второстепенной дороге.</w:t>
      </w:r>
    </w:p>
    <w:p w:rsidR="00000000" w:rsidRDefault="003A3FCA">
      <w:pPr>
        <w:ind w:firstLine="426"/>
        <w:jc w:val="both"/>
      </w:pPr>
      <w:r>
        <w:t>ПРИМЕЧАНИЕ. На Ү-образном перекрестке с широкой второстепенной дорогой установка опоры освещения на островке безопасности или разделительном островке в пределах второстепенной дороги может оказаться необходимой во избежание избыточно большого шага установк</w:t>
      </w:r>
      <w:r>
        <w:t>и светильников.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5362575" cy="33623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ПРИМЕЧАНИЕ. С тем чтобы обеспечить освещение второстепенной дороги, не п</w:t>
      </w:r>
      <w:r>
        <w:t>рибегая к увеличению расчетного шага установки светильников, в некоторых ситуациях может потребоваться установка светильника на более длинном кронштейне или на опоре, установленной на островке безопасности или разделительном островке в пределах второстепен</w:t>
      </w:r>
      <w:r>
        <w:t>ной дороги.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43575" cy="57626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3600450" cy="27146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center"/>
      </w:pPr>
      <w:r>
        <w:rPr>
          <w:i/>
          <w:iCs/>
        </w:rPr>
        <w:t xml:space="preserve">1 - положение светильников, 2 - главная дорога, 3 - второстепенная дорога, </w:t>
      </w:r>
    </w:p>
    <w:p w:rsidR="00000000" w:rsidRDefault="003A3FCA">
      <w:pPr>
        <w:ind w:firstLine="426"/>
        <w:jc w:val="center"/>
      </w:pPr>
      <w:r>
        <w:rPr>
          <w:i/>
          <w:iCs/>
        </w:rPr>
        <w:t xml:space="preserve">4 - односторонняя перемычка, 5 - А и Б могут быть раздельными или совмещенными </w:t>
      </w:r>
    </w:p>
    <w:p w:rsidR="00000000" w:rsidRDefault="003A3FCA">
      <w:pPr>
        <w:ind w:firstLine="426"/>
        <w:jc w:val="center"/>
      </w:pPr>
      <w:r>
        <w:rPr>
          <w:i/>
          <w:iCs/>
        </w:rPr>
        <w:t>в за</w:t>
      </w:r>
      <w:r>
        <w:rPr>
          <w:i/>
          <w:iCs/>
        </w:rPr>
        <w:t xml:space="preserve">висимости от размера островка, б - В и Г могут быть раздельными или </w:t>
      </w:r>
    </w:p>
    <w:p w:rsidR="00000000" w:rsidRDefault="003A3FCA">
      <w:pPr>
        <w:ind w:firstLine="426"/>
        <w:jc w:val="center"/>
      </w:pPr>
      <w:r>
        <w:rPr>
          <w:i/>
          <w:iCs/>
        </w:rPr>
        <w:t xml:space="preserve">совмещенными в зависимости от размера островка, S - расчетный шаг установки </w:t>
      </w:r>
    </w:p>
    <w:p w:rsidR="00000000" w:rsidRDefault="003A3FCA">
      <w:pPr>
        <w:ind w:firstLine="426"/>
        <w:jc w:val="center"/>
      </w:pPr>
      <w:r>
        <w:rPr>
          <w:i/>
          <w:iCs/>
        </w:rPr>
        <w:lastRenderedPageBreak/>
        <w:t>светильников наружного электрического освещения вдоль главной дороги</w:t>
      </w:r>
    </w:p>
    <w:p w:rsidR="00000000" w:rsidRDefault="003A3FCA">
      <w:pPr>
        <w:ind w:firstLine="426"/>
        <w:jc w:val="center"/>
      </w:pPr>
      <w:r>
        <w:rPr>
          <w:b/>
          <w:bCs/>
        </w:rPr>
        <w:t xml:space="preserve">Рисунок Б.7 - Пересечения с треугольными </w:t>
      </w:r>
      <w:r>
        <w:rPr>
          <w:b/>
          <w:bCs/>
        </w:rPr>
        <w:t>островками</w:t>
      </w:r>
    </w:p>
    <w:p w:rsidR="00000000" w:rsidRDefault="003A3FCA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5686425" cy="419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Б.5 Пересечения с островками безопасности или разделительными островками</w:t>
      </w:r>
    </w:p>
    <w:p w:rsidR="00000000" w:rsidRDefault="003A3FCA">
      <w:pPr>
        <w:ind w:firstLine="426"/>
        <w:jc w:val="both"/>
      </w:pPr>
      <w:r>
        <w:t>Тип</w:t>
      </w:r>
      <w:r>
        <w:t>ичная схема размещения светильников на пересечении с островками безопасности или разделительными островками и полосами движения на левый поворот на главной дороге приведена на рисунке Б.9.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562600" cy="54483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Б.6 Кольцевые пересечения</w:t>
      </w:r>
    </w:p>
    <w:p w:rsidR="00000000" w:rsidRDefault="003A3FCA">
      <w:pPr>
        <w:ind w:firstLine="426"/>
        <w:jc w:val="both"/>
      </w:pPr>
      <w:r>
        <w:t>Б.6.1 На рисунках Б.10 и Б.11 приведены примеры типичных схем размещения светильников на кольцевых пересечениях с центральным островком с различным количеством направлений движения.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62575" cy="83724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837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10225" cy="77057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Б.6.2 На рисунке Б.12 приведен пример типичной схемы размещения светильников на кольцевом Т-образном пересечении.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762375" cy="35623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3A3FC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jc w:val="center"/>
      </w:pPr>
      <w:r>
        <w:rPr>
          <w:rStyle w:val="s1"/>
        </w:rPr>
        <w:t xml:space="preserve">Определение расчетного поля и сетки расчетных точек для верификационных </w:t>
      </w:r>
      <w:r>
        <w:rPr>
          <w:rStyle w:val="s1"/>
        </w:rPr>
        <w:br/>
      </w:r>
      <w:r>
        <w:rPr>
          <w:rStyle w:val="s1"/>
        </w:rPr>
        <w:t>расчетов установок наружного электрического освещения улично-дорожной сети,</w:t>
      </w:r>
      <w:r>
        <w:rPr>
          <w:rStyle w:val="s1"/>
        </w:rPr>
        <w:br/>
        <w:t>пешеходных пространств и окон зданий</w:t>
      </w:r>
    </w:p>
    <w:p w:rsidR="00000000" w:rsidRDefault="003A3FCA">
      <w:pPr>
        <w:ind w:firstLine="426"/>
        <w:jc w:val="center"/>
      </w:pPr>
      <w:r>
        <w:t> </w:t>
      </w:r>
    </w:p>
    <w:p w:rsidR="00000000" w:rsidRDefault="003A3FCA">
      <w:pPr>
        <w:ind w:firstLine="426"/>
        <w:jc w:val="both"/>
      </w:pPr>
      <w:r>
        <w:t>В.1 Для объектов со стандартной геометрией расчетное поле представляет собой часть прямолинейного горизонтального полотна дороги, ширина кото</w:t>
      </w:r>
      <w:r>
        <w:t xml:space="preserve">рого равна ширине всей проезжей части (при проезде в одну сторону), а длина - шагу установки светильников, расположенных по одной стороне дороги или по центру при установке осветительных приборов по осевой линии. При определении освещенности для шахматной </w:t>
      </w:r>
      <w:r>
        <w:t>схемы расположения осветительных приборов длина контрольного участка определяется проекцией на продольную ось дороги расстояния между двумя соседними осветительными приборами, расположенными на противоположных сторонах проезжей части. Расчетные точки для и</w:t>
      </w:r>
      <w:r>
        <w:t xml:space="preserve">змерения средней освещенности улиц, дорог и площадей должны располагаться равномерно на участке дорожного покрытия, ограниченном шагом установки светильников, на расстоянии </w:t>
      </w:r>
      <w:r>
        <w:rPr>
          <w:i/>
          <w:iCs/>
        </w:rPr>
        <w:t xml:space="preserve">D, </w:t>
      </w:r>
      <w:r>
        <w:t>м, определяемом по формуле:</w:t>
      </w:r>
    </w:p>
    <w:p w:rsidR="00000000" w:rsidRDefault="003A3FCA">
      <w:pPr>
        <w:ind w:firstLine="426"/>
        <w:jc w:val="both"/>
      </w:pPr>
      <w:r>
        <w:rPr>
          <w:i/>
          <w:iCs/>
        </w:rPr>
        <w:t> </w:t>
      </w:r>
    </w:p>
    <w:p w:rsidR="00000000" w:rsidRDefault="003A3FCA">
      <w:pPr>
        <w:ind w:firstLine="426"/>
        <w:jc w:val="center"/>
      </w:pPr>
      <w:r>
        <w:rPr>
          <w:i/>
          <w:iCs/>
        </w:rPr>
        <w:t xml:space="preserve">D = S/N,              </w:t>
      </w:r>
      <w:r>
        <w:t>(B.1)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S - </w:t>
      </w:r>
      <w:r>
        <w:t>шаг установк</w:t>
      </w:r>
      <w:r>
        <w:t>и осветительных приборов, м;</w:t>
      </w:r>
    </w:p>
    <w:p w:rsidR="00000000" w:rsidRDefault="003A3FCA">
      <w:pPr>
        <w:ind w:firstLine="426"/>
        <w:jc w:val="both"/>
      </w:pPr>
      <w:r>
        <w:rPr>
          <w:i/>
          <w:iCs/>
        </w:rPr>
        <w:t xml:space="preserve">N </w:t>
      </w:r>
      <w:r>
        <w:t>- количество расчетных точек.</w:t>
      </w:r>
    </w:p>
    <w:p w:rsidR="00000000" w:rsidRDefault="003A3FCA">
      <w:pPr>
        <w:ind w:firstLine="426"/>
        <w:jc w:val="both"/>
      </w:pPr>
      <w:r>
        <w:t>Количество расчетных точек должно быть не менее 10. При шаге установки светильников большем или равном 30 м, количество расчетных точек должно составлять 10. При шаге установки светильников свыше</w:t>
      </w:r>
      <w:r>
        <w:t xml:space="preserve"> 30 м, расстояние между расчетными точками не должно превышать 3 м. Распределение расчетных точек на расчетном поле следует принимать в соответствии с рисунком В.1.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124575" cy="33051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В.2 Расположение расчетного поля при измерении средней освещенности улично-дорожной сети и пешеходных пространств следует принимать по рисунку В.2.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172200" cy="70770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В.3 Расположение расчетных точек при измерении средней освещенности улиц на перекрестке следует принимать по рисунку В</w:t>
      </w:r>
      <w:r>
        <w:t xml:space="preserve">.3. Шаг расчетных точек </w:t>
      </w:r>
      <w:r>
        <w:rPr>
          <w:i/>
          <w:iCs/>
        </w:rPr>
        <w:t xml:space="preserve">D </w:t>
      </w:r>
      <w:r>
        <w:t>следует принимать равным от 3 м до 5 м.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972050" cy="33432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 xml:space="preserve">В.4 Расположение расчетных точек при измерении средней освещенности улиц в местах закругления следует принимать по рисунку В.4. Шаг расчетных точек </w:t>
      </w:r>
      <w:r>
        <w:rPr>
          <w:i/>
          <w:iCs/>
        </w:rPr>
        <w:t xml:space="preserve">D </w:t>
      </w:r>
      <w:r>
        <w:t>следует принимат</w:t>
      </w:r>
      <w:r>
        <w:t>ь равным от 3 м до 5 м.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drawing>
          <wp:inline distT="0" distB="0" distL="0" distR="0">
            <wp:extent cx="5029200" cy="3619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В.5 Расположение расчетных точек на внешней поверхности окна при</w:t>
      </w:r>
      <w:r>
        <w:t xml:space="preserve"> измерении вертикальной освещенности (уровня засветки окон) следует принимать по рисунку В.5. Расчетные точки размещают на внешней поверхности окна.</w:t>
      </w:r>
    </w:p>
    <w:p w:rsidR="00000000" w:rsidRDefault="003A3FCA">
      <w:pPr>
        <w:ind w:firstLine="426"/>
        <w:jc w:val="both"/>
      </w:pPr>
      <w:r>
        <w:t>Количество расчетных точек должно быть не менее пяти для каждого измеряемого окна.</w:t>
      </w:r>
    </w:p>
    <w:p w:rsidR="00000000" w:rsidRDefault="003A3FCA">
      <w:pPr>
        <w:ind w:firstLine="426"/>
        <w:jc w:val="both"/>
      </w:pPr>
      <w:r>
        <w:rPr>
          <w:color w:val="auto"/>
        </w:rP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72100" cy="33051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В.6 Расположение расчетного поля и расчетных точек при измерении средней яркости дорожного покрытия улично-дорож</w:t>
      </w:r>
      <w:r>
        <w:t>ной сети и пешеходных пространств прямым методом следует принимать аналогично измерению средней освещенности - по рисункам В.1 и В.2. При этом направление измерений принимается от первого светильника на расчетном поле («5» на рисунке В.1) к последнему свет</w:t>
      </w:r>
      <w:r>
        <w:t>ильнику на расчетном поле («2» на рисунке В.2).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3A3FCA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3A3FCA">
      <w:pPr>
        <w:ind w:firstLine="426"/>
        <w:jc w:val="right"/>
      </w:pPr>
      <w:r>
        <w:rPr>
          <w:b/>
          <w:bCs/>
        </w:rPr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jc w:val="center"/>
      </w:pPr>
      <w:r>
        <w:rPr>
          <w:rStyle w:val="s1"/>
        </w:rPr>
        <w:t xml:space="preserve">Определение расчетного поля и сетки расчетных точек для верификационных </w:t>
      </w:r>
      <w:r>
        <w:rPr>
          <w:rStyle w:val="s1"/>
        </w:rPr>
        <w:br/>
        <w:t>расчетов установок наружного электрического освещения открытых спортивных</w:t>
      </w:r>
      <w:r>
        <w:rPr>
          <w:rStyle w:val="s1"/>
        </w:rPr>
        <w:br/>
        <w:t>сооружений</w:t>
      </w:r>
    </w:p>
    <w:p w:rsidR="00000000" w:rsidRDefault="003A3FCA">
      <w:pPr>
        <w:ind w:firstLine="426"/>
        <w:jc w:val="center"/>
      </w:pPr>
      <w:r>
        <w:rPr>
          <w:color w:val="auto"/>
        </w:rPr>
        <w:t> </w:t>
      </w:r>
    </w:p>
    <w:p w:rsidR="00000000" w:rsidRDefault="003A3FCA">
      <w:pPr>
        <w:ind w:firstLine="426"/>
        <w:jc w:val="both"/>
      </w:pPr>
      <w:r>
        <w:t>Г.1 Расчетно</w:t>
      </w:r>
      <w:r>
        <w:t>е поле определяется в зависимости от типа открытого спортивного сооружения по виду (видам) спорта, соревнования по которому (которым) проводятся на нем. Размеры расчетного поля по видам спорта приведены в таблице Г.1. В случае с велотреками, расчет проводи</w:t>
      </w:r>
      <w:r>
        <w:t>тся на одной четверти длины трека, как показано на рисунке Г.2.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26"/>
        <w:jc w:val="center"/>
      </w:pPr>
      <w:r>
        <w:rPr>
          <w:b/>
          <w:bCs/>
        </w:rPr>
        <w:t xml:space="preserve">Таблица Г.1 </w:t>
      </w:r>
      <w:r>
        <w:t xml:space="preserve">- </w:t>
      </w:r>
      <w:r>
        <w:rPr>
          <w:b/>
          <w:bCs/>
        </w:rPr>
        <w:t>Размеры расчетного поля и количество расчетных точек по видам спорта</w:t>
      </w:r>
    </w:p>
    <w:p w:rsidR="00000000" w:rsidRDefault="003A3FC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5"/>
        <w:gridCol w:w="1354"/>
        <w:gridCol w:w="1299"/>
        <w:gridCol w:w="1215"/>
        <w:gridCol w:w="1402"/>
      </w:tblGrid>
      <w:tr w:rsidR="00000000">
        <w:trPr>
          <w:trHeight w:val="276"/>
        </w:trPr>
        <w:tc>
          <w:tcPr>
            <w:tcW w:w="21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Вид спорта</w:t>
            </w:r>
          </w:p>
        </w:tc>
        <w:tc>
          <w:tcPr>
            <w:tcW w:w="14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Расчетное поле, м </w:t>
            </w:r>
            <w:r>
              <w:rPr>
                <w:vertAlign w:val="superscript"/>
              </w:rPr>
              <w:t>1)</w:t>
            </w:r>
          </w:p>
        </w:tc>
        <w:tc>
          <w:tcPr>
            <w:tcW w:w="140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Количество расчетных точек </w:t>
            </w:r>
            <w:r>
              <w:rPr>
                <w:vertAlign w:val="superscript"/>
              </w:rPr>
              <w:t>1)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3FCA"/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длина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ширина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по длине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по ширине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Баскетбол: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основная игровая зона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общая площадь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Бег (пробеги и кросс)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- </w:t>
            </w:r>
            <w:r>
              <w:rPr>
                <w:vertAlign w:val="superscript"/>
              </w:rPr>
              <w:t>2)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Бобслей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Велогонки: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трек длиной 250 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62,5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4,3 до 4,75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трек длиной 333,3 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83,33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4,3 до 4,75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Водные виды спорта: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прыжки в воду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плавание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25 до 50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17 до 22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13 до 17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7 до 9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водное поло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20 до 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15 до 20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синхронное плавание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Волейбол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классы освещения I, II, III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альтернатива для класса 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Гандбол: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основная игровая зона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общая площадь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44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27,5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Горные лыжи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Кёрлинг: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дом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4,3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поле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38,5 до 46,5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4,3 до 4,75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Конькобежный спорт (классический и шорт-трек):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шорт-трек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- 400 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Легкая атлетика (все виды):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трек 400 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4,9 до 9,8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поле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80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Лыжные гонки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  <w:r>
              <w:rPr>
                <w:vertAlign w:val="superscript"/>
              </w:rPr>
              <w:t>2)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Нетбол: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основная игровая зона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30,5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15,3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общая площадь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37,5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22,5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Перетягивание каната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13 до 15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 xml:space="preserve">Прыжки с трамплина: </w:t>
            </w:r>
            <w:r>
              <w:rPr>
                <w:vertAlign w:val="superscript"/>
              </w:rPr>
              <w:t>3)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зона спуска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зона приземления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Регби: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основная игровая зона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144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общая площадь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23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Санный спорт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Теннис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Фристайл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lastRenderedPageBreak/>
              <w:t>Футбол: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основная игровая зона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100 до 110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64 до 75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19 до 21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13 до 15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общая площадь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108 до 118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72 до 83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от 13 до 15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Хоккей на траве: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основная игровая зона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91,4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19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общая площадь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101,4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Хоккей с мячом (бенди):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основная игровая зона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- общая площадь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21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t>Хоккей с шайбой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both"/>
            </w:pPr>
            <w:r>
              <w:t>ПРИМЕЧАНИЕ. В таблице приведены размеры расчетной площади для сооружений стандартных размеров</w:t>
            </w:r>
          </w:p>
          <w:p w:rsidR="00000000" w:rsidRDefault="003A3FCA">
            <w:pPr>
              <w:spacing w:line="276" w:lineRule="auto"/>
              <w:jc w:val="both"/>
            </w:pPr>
            <w:r>
              <w:rPr>
                <w:vertAlign w:val="superscript"/>
              </w:rPr>
              <w:t>1)</w:t>
            </w:r>
            <w:r>
              <w:t xml:space="preserve"> Если не указано иное, параметры расчетной площади и сетки приведены для «основной игровой зоны», включающей в себя собственно «игро</w:t>
            </w:r>
            <w:r>
              <w:t>вое поле», ограниченное соответствующей разметкой, и дополнительные зоны вокруг разметки, используемые игроками, например, в теннисе, волейболе, регби. Для некоторых видов спорта указаны параметры также для «общей площади», включающей в себя «основную игро</w:t>
            </w:r>
            <w:r>
              <w:t>вую зону», определенную выше, и дополнительное пространство вокруг «основной игровой зоны», необходимое для целей безопасности.</w:t>
            </w:r>
          </w:p>
          <w:p w:rsidR="00000000" w:rsidRDefault="003A3FCA">
            <w:pPr>
              <w:spacing w:line="276" w:lineRule="auto"/>
              <w:jc w:val="both"/>
            </w:pPr>
            <w:r>
              <w:rPr>
                <w:vertAlign w:val="superscript"/>
              </w:rPr>
              <w:t xml:space="preserve">2) </w:t>
            </w:r>
            <w:r>
              <w:t>Длину расчетного поля принимают между опорами светильников.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rPr>
                <w:vertAlign w:val="superscript"/>
              </w:rPr>
              <w:t>3)</w:t>
            </w:r>
            <w:r>
              <w:t xml:space="preserve"> Расстояние между точками расчетной сетки по длине должно соста</w:t>
            </w:r>
            <w:r>
              <w:t>влять 2 м или менее для зоны спуска, 5 м или менее - для зоны приземления. В зоне спуска достаточно проводить расчеты на точках по осевой линии</w:t>
            </w:r>
          </w:p>
        </w:tc>
      </w:tr>
    </w:tbl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Г.2 Сетка расчетных точек, как правило, должна быть прямоугольной. Вид и параметры сетки расчетных точек приведены на рисунке Г.1 и - для велотрека - на рисунке Г.2. Количество расчетных точек в сетке для расчетного поля следует принимать по таблице Г.1.</w:t>
      </w:r>
    </w:p>
    <w:p w:rsidR="00000000" w:rsidRDefault="003A3FCA">
      <w:pPr>
        <w:ind w:firstLine="426"/>
        <w:jc w:val="both"/>
      </w:pPr>
      <w:r>
        <w:t>Г</w:t>
      </w:r>
      <w:r>
        <w:t>.3 Когда в пределах площади открытого спортивного сооружения предусмотрено проведение нескольких видов соревнований, верификационные расчеты должны проводиться для каждой отдельной игровой зоны с использованием сетки расчетных точек, указанной для соответс</w:t>
      </w:r>
      <w:r>
        <w:t>твующего вида спорта в таблице Г.1.</w:t>
      </w:r>
    </w:p>
    <w:p w:rsidR="00000000" w:rsidRDefault="003A3FCA">
      <w:pPr>
        <w:ind w:firstLine="426"/>
        <w:jc w:val="both"/>
      </w:pPr>
      <w:r>
        <w:t>Г.4 В качестве измерительных точек, как правило, используются расчетные точки. С целью уменьшения количества измерений допускается использовать каждую вторую расчетную точку по длине и по ширине расчетного поля, как пока</w:t>
      </w:r>
      <w:r>
        <w:t>зано на рисунках Г.1 и Г.2 (измерительные точки обведены кружочком).</w:t>
      </w:r>
    </w:p>
    <w:p w:rsidR="00000000" w:rsidRDefault="003A3FCA">
      <w:pPr>
        <w:ind w:firstLine="426"/>
        <w:jc w:val="both"/>
      </w:pPr>
      <w:r>
        <w:t>Г.5 Горизонтальную освещенность следует рассчитывать и измерять на уровне земли, вертикальную - на высоте 1 м над уровнем земли.</w:t>
      </w:r>
    </w:p>
    <w:p w:rsidR="00000000" w:rsidRDefault="003A3FCA">
      <w:pPr>
        <w:ind w:firstLine="426"/>
        <w:jc w:val="both"/>
      </w:pPr>
      <w:r>
        <w:t>Разница между измеренными и рассчитанными средними величин</w:t>
      </w:r>
      <w:r>
        <w:t>ами освещенности не должна превышать 10%.</w:t>
      </w:r>
    </w:p>
    <w:p w:rsidR="00000000" w:rsidRDefault="003A3FCA">
      <w:pPr>
        <w:ind w:firstLine="426"/>
        <w:jc w:val="both"/>
      </w:pPr>
      <w:r>
        <w:t>Г.6 Коэффициент блескости (GR) должен рассчитываться для согласованных между проектировщиком и заказчиком положений наблюдателя и углов зрения.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943100" cy="28765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center"/>
      </w:pPr>
      <w:r>
        <w:rPr>
          <w:i/>
          <w:iCs/>
        </w:rPr>
        <w:t xml:space="preserve">А - длина расчетного поля; a - длина основной игровой зоны; B - ширина расчетного поля; </w:t>
      </w:r>
    </w:p>
    <w:p w:rsidR="00000000" w:rsidRDefault="003A3FCA">
      <w:pPr>
        <w:ind w:firstLine="426"/>
        <w:jc w:val="center"/>
      </w:pPr>
      <w:r>
        <w:rPr>
          <w:i/>
          <w:iCs/>
        </w:rPr>
        <w:t xml:space="preserve">b - ширина основной игровой зоны; D - шаг расчетных точек в продольном направлении; </w:t>
      </w:r>
    </w:p>
    <w:p w:rsidR="00000000" w:rsidRDefault="003A3FCA">
      <w:pPr>
        <w:ind w:firstLine="426"/>
        <w:jc w:val="center"/>
      </w:pPr>
      <w:r>
        <w:rPr>
          <w:i/>
          <w:iCs/>
        </w:rPr>
        <w:t xml:space="preserve">d - шаг расчетных точек в поперечном направлении жирными точками </w:t>
      </w:r>
    </w:p>
    <w:p w:rsidR="00000000" w:rsidRDefault="003A3FCA">
      <w:pPr>
        <w:ind w:firstLine="426"/>
        <w:jc w:val="center"/>
      </w:pPr>
      <w:r>
        <w:rPr>
          <w:i/>
          <w:iCs/>
        </w:rPr>
        <w:t>показаны расчетн</w:t>
      </w:r>
      <w:r>
        <w:rPr>
          <w:i/>
          <w:iCs/>
        </w:rPr>
        <w:t>ые точки, обведены кружочком расчетно-измерительные точки</w:t>
      </w:r>
    </w:p>
    <w:p w:rsidR="00000000" w:rsidRDefault="003A3FCA">
      <w:pPr>
        <w:ind w:firstLine="426"/>
        <w:jc w:val="center"/>
      </w:pPr>
      <w:r>
        <w:rPr>
          <w:b/>
          <w:bCs/>
        </w:rPr>
        <w:t>Рисунок Г.1 - Вид и параметры сетки расчетных и измерительных точек</w:t>
      </w:r>
    </w:p>
    <w:p w:rsidR="00000000" w:rsidRDefault="003A3FCA">
      <w:pPr>
        <w:ind w:firstLine="426"/>
        <w:jc w:val="center"/>
      </w:pPr>
      <w:r>
        <w:rPr>
          <w:b/>
          <w:bCs/>
        </w:rPr>
        <w:t> </w:t>
      </w:r>
    </w:p>
    <w:p w:rsidR="00000000" w:rsidRDefault="003A3FCA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5686425" cy="40290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3A3FCA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jc w:val="center"/>
      </w:pPr>
      <w:r>
        <w:rPr>
          <w:rStyle w:val="s1"/>
        </w:rPr>
        <w:lastRenderedPageBreak/>
        <w:t>Коэффициенты запаса светильников установок нар</w:t>
      </w:r>
      <w:r>
        <w:rPr>
          <w:rStyle w:val="s1"/>
        </w:rPr>
        <w:t xml:space="preserve">ужного </w:t>
      </w:r>
      <w:r>
        <w:rPr>
          <w:rStyle w:val="s1"/>
        </w:rPr>
        <w:br/>
        <w:t>электрического освещения в зависимости от степени защиты</w:t>
      </w:r>
      <w:r>
        <w:rPr>
          <w:rStyle w:val="s1"/>
        </w:rPr>
        <w:br/>
        <w:t>оболочки светильника</w:t>
      </w:r>
    </w:p>
    <w:p w:rsidR="00000000" w:rsidRDefault="003A3FCA">
      <w:pPr>
        <w:ind w:firstLine="426"/>
        <w:jc w:val="center"/>
      </w:pPr>
      <w:r>
        <w:rPr>
          <w:b/>
          <w:bCs/>
        </w:rPr>
        <w:t> </w:t>
      </w:r>
    </w:p>
    <w:p w:rsidR="00000000" w:rsidRDefault="003A3FCA">
      <w:pPr>
        <w:ind w:firstLine="426"/>
        <w:jc w:val="center"/>
      </w:pPr>
      <w:r>
        <w:rPr>
          <w:b/>
          <w:bCs/>
        </w:rPr>
        <w:t>Таблица Е.1 - Коэффициенты запаса светильников установок наружного электрического освещения</w:t>
      </w:r>
    </w:p>
    <w:p w:rsidR="00000000" w:rsidRDefault="003A3FCA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1657"/>
        <w:gridCol w:w="1657"/>
        <w:gridCol w:w="1657"/>
        <w:gridCol w:w="1657"/>
        <w:gridCol w:w="1657"/>
        <w:gridCol w:w="1657"/>
        <w:gridCol w:w="1657"/>
        <w:gridCol w:w="1657"/>
        <w:gridCol w:w="1657"/>
      </w:tblGrid>
      <w:tr w:rsidR="00000000">
        <w:trPr>
          <w:trHeight w:val="20"/>
        </w:trPr>
        <w:tc>
          <w:tcPr>
            <w:tcW w:w="4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t>Интервал</w:t>
            </w:r>
          </w:p>
          <w:p w:rsidR="00000000" w:rsidRDefault="003A3FCA">
            <w:pPr>
              <w:spacing w:line="276" w:lineRule="auto"/>
              <w:jc w:val="center"/>
            </w:pPr>
            <w:r>
              <w:t>между</w:t>
            </w:r>
          </w:p>
          <w:p w:rsidR="00000000" w:rsidRDefault="003A3FCA">
            <w:pPr>
              <w:spacing w:line="276" w:lineRule="auto"/>
              <w:jc w:val="center"/>
            </w:pPr>
            <w:r>
              <w:t>чистками,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месяцев</w:t>
            </w:r>
          </w:p>
        </w:tc>
        <w:tc>
          <w:tcPr>
            <w:tcW w:w="4567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Коэффициент запаса светильников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3FCA"/>
        </w:tc>
        <w:tc>
          <w:tcPr>
            <w:tcW w:w="15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степень защиты минимум IP2X </w:t>
            </w:r>
            <w:r>
              <w:rPr>
                <w:vertAlign w:val="superscript"/>
              </w:rPr>
              <w:t>1)</w:t>
            </w:r>
          </w:p>
        </w:tc>
        <w:tc>
          <w:tcPr>
            <w:tcW w:w="150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степень защиты минимум IP5X </w:t>
            </w:r>
            <w:r>
              <w:rPr>
                <w:vertAlign w:val="superscript"/>
              </w:rPr>
              <w:t>1)</w:t>
            </w:r>
          </w:p>
        </w:tc>
        <w:tc>
          <w:tcPr>
            <w:tcW w:w="15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степень защиты минимум IP6X </w:t>
            </w:r>
            <w:r>
              <w:rPr>
                <w:vertAlign w:val="superscript"/>
              </w:rPr>
              <w:t>1)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3FCA"/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высокая степень загрязненности </w:t>
            </w:r>
            <w:r>
              <w:rPr>
                <w:vertAlign w:val="superscript"/>
              </w:rPr>
              <w:t>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средняя степень загрязненности </w:t>
            </w:r>
            <w:r>
              <w:rPr>
                <w:vertAlign w:val="superscript"/>
              </w:rPr>
              <w:t>3)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низкая степень загрязненности </w:t>
            </w:r>
            <w:r>
              <w:rPr>
                <w:vertAlign w:val="superscript"/>
              </w:rPr>
              <w:t>4)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высокая степень загрязненности </w:t>
            </w:r>
            <w:r>
              <w:rPr>
                <w:vertAlign w:val="superscript"/>
              </w:rPr>
              <w:t>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средняя степень загрязненности </w:t>
            </w:r>
            <w:r>
              <w:rPr>
                <w:vertAlign w:val="superscript"/>
              </w:rPr>
              <w:t>3)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низкая степень загрязненности </w:t>
            </w:r>
            <w:r>
              <w:rPr>
                <w:vertAlign w:val="superscript"/>
              </w:rPr>
              <w:t>4)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высокая степень загрязненности </w:t>
            </w:r>
            <w:r>
              <w:rPr>
                <w:vertAlign w:val="superscript"/>
              </w:rPr>
              <w:t>2)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средняя степень загрязненности </w:t>
            </w:r>
            <w:r>
              <w:rPr>
                <w:vertAlign w:val="superscript"/>
              </w:rPr>
              <w:t>3)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низкая степень загрязненности </w:t>
            </w:r>
            <w:r>
              <w:rPr>
                <w:vertAlign w:val="superscript"/>
              </w:rPr>
              <w:t>4)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1,09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1,09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1,08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  <w:r>
              <w:t>,08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1,09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2,22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1,27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1,10</w:t>
            </w:r>
          </w:p>
        </w:tc>
      </w:tr>
      <w:tr w:rsidR="00000000">
        <w:trPr>
          <w:trHeight w:val="2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2,38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1,89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1,28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1,32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1,20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1,11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both"/>
            </w:pPr>
            <w:r>
              <w:rPr>
                <w:vertAlign w:val="superscript"/>
              </w:rPr>
              <w:t>1)</w:t>
            </w:r>
            <w:r>
              <w:t xml:space="preserve"> Степень защиты, обеспечиваемая оболочкой</w:t>
            </w:r>
          </w:p>
          <w:p w:rsidR="00000000" w:rsidRDefault="003A3FCA">
            <w:pPr>
              <w:spacing w:line="276" w:lineRule="auto"/>
              <w:jc w:val="both"/>
            </w:pPr>
            <w:r>
              <w:rPr>
                <w:vertAlign w:val="superscript"/>
              </w:rPr>
              <w:t>2)</w:t>
            </w:r>
            <w:r>
              <w:t xml:space="preserve"> </w:t>
            </w:r>
            <w:r>
              <w:t>Высокая степень загрязненности окружающей среды: например, в центре крупных городов и в промышленных зонах</w:t>
            </w:r>
          </w:p>
          <w:p w:rsidR="00000000" w:rsidRDefault="003A3FCA">
            <w:pPr>
              <w:spacing w:line="276" w:lineRule="auto"/>
              <w:jc w:val="both"/>
            </w:pPr>
            <w:r>
              <w:rPr>
                <w:vertAlign w:val="superscript"/>
              </w:rPr>
              <w:t>3)</w:t>
            </w:r>
            <w:r>
              <w:t xml:space="preserve"> Средняя степень загрязненности окружающей среды: например, в поселках городского типа, спальных районах городов и районах городов с незначительным</w:t>
            </w:r>
            <w:r>
              <w:t xml:space="preserve"> присутствием промышленных объектов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both"/>
            </w:pPr>
            <w:r>
              <w:rPr>
                <w:vertAlign w:val="superscript"/>
              </w:rPr>
              <w:t>4)</w:t>
            </w:r>
            <w:r>
              <w:t xml:space="preserve"> Низкая степень загрязненности окружающей среды: например, в сельской местности</w:t>
            </w:r>
          </w:p>
        </w:tc>
      </w:tr>
    </w:tbl>
    <w:p w:rsidR="00000000" w:rsidRDefault="003A3FCA">
      <w:pPr>
        <w:ind w:firstLine="400"/>
        <w:jc w:val="both"/>
      </w:pPr>
      <w:r>
        <w:t> </w:t>
      </w:r>
    </w:p>
    <w:p w:rsidR="00000000" w:rsidRDefault="003A3FCA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3A3FCA">
      <w:pPr>
        <w:ind w:firstLine="426"/>
        <w:jc w:val="right"/>
      </w:pPr>
      <w:r>
        <w:t>(обязательное)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both"/>
      </w:pPr>
      <w:r>
        <w:t> </w:t>
      </w:r>
    </w:p>
    <w:p w:rsidR="00000000" w:rsidRDefault="003A3FCA">
      <w:pPr>
        <w:ind w:firstLine="426"/>
        <w:jc w:val="center"/>
      </w:pPr>
      <w:r>
        <w:rPr>
          <w:b/>
          <w:bCs/>
        </w:rPr>
        <w:t>Таблица Ж.1 - Требования к освещению открытых спортивных сооружений по видам спорта</w:t>
      </w:r>
    </w:p>
    <w:p w:rsidR="00000000" w:rsidRDefault="003A3FCA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2"/>
        <w:gridCol w:w="564"/>
        <w:gridCol w:w="609"/>
        <w:gridCol w:w="677"/>
        <w:gridCol w:w="854"/>
        <w:gridCol w:w="854"/>
        <w:gridCol w:w="654"/>
        <w:gridCol w:w="606"/>
        <w:gridCol w:w="619"/>
        <w:gridCol w:w="699"/>
        <w:gridCol w:w="1457"/>
      </w:tblGrid>
      <w:tr w:rsidR="00000000">
        <w:trPr>
          <w:trHeight w:val="20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Вид спорта</w:t>
            </w:r>
          </w:p>
        </w:tc>
        <w:tc>
          <w:tcPr>
            <w:tcW w:w="11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Средняя горизонтальная освещенность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), </w:t>
            </w:r>
            <w:r>
              <w:t xml:space="preserve">лк, и равномерность горизонтальной освещенности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мин</w:t>
            </w:r>
            <w:r>
              <w:rPr>
                <w:i/>
                <w:iCs/>
              </w:rPr>
              <w:t>/Е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 </w:t>
            </w:r>
            <w:r>
              <w:rPr>
                <w:vertAlign w:val="superscript"/>
              </w:rPr>
              <w:t>1)</w:t>
            </w:r>
            <w:r>
              <w:t xml:space="preserve">для класса освещения </w:t>
            </w:r>
            <w:r>
              <w:rPr>
                <w:vertAlign w:val="superscript"/>
              </w:rPr>
              <w:t>2)</w:t>
            </w:r>
          </w:p>
        </w:tc>
        <w:tc>
          <w:tcPr>
            <w:tcW w:w="116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Средняя вертикальная освещенность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), </w:t>
            </w:r>
            <w:r>
              <w:t xml:space="preserve">лк, и равномерность вертикальной освещенности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мин</w:t>
            </w:r>
            <w:r>
              <w:rPr>
                <w:i/>
                <w:iCs/>
              </w:rPr>
              <w:t>/Е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>)</w:t>
            </w:r>
            <w:r>
              <w:rPr>
                <w:vertAlign w:val="superscript"/>
              </w:rPr>
              <w:t>3)</w:t>
            </w:r>
            <w:r>
              <w:t xml:space="preserve"> для класса освещения </w:t>
            </w:r>
            <w:r>
              <w:rPr>
                <w:vertAlign w:val="superscript"/>
              </w:rPr>
              <w:t>2)</w:t>
            </w:r>
          </w:p>
        </w:tc>
        <w:tc>
          <w:tcPr>
            <w:tcW w:w="11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Коэффициент блескости </w:t>
            </w:r>
            <w:r>
              <w:rPr>
                <w:i/>
                <w:iCs/>
              </w:rPr>
              <w:t xml:space="preserve">(GR) </w:t>
            </w:r>
            <w:r>
              <w:t xml:space="preserve">и индекс цветопередачи источника света </w:t>
            </w:r>
            <w:r>
              <w:rPr>
                <w:i/>
                <w:iCs/>
              </w:rPr>
              <w:t>(R</w:t>
            </w:r>
            <w:r>
              <w:rPr>
                <w:i/>
                <w:iCs/>
                <w:vertAlign w:val="subscript"/>
              </w:rPr>
              <w:t>a</w:t>
            </w:r>
            <w:r>
              <w:rPr>
                <w:i/>
                <w:iCs/>
              </w:rPr>
              <w:t>)</w:t>
            </w:r>
            <w:r>
              <w:rPr>
                <w:vertAlign w:val="superscript"/>
              </w:rPr>
              <w:t>4)</w:t>
            </w:r>
            <w:r>
              <w:t>для класса освещения</w:t>
            </w:r>
            <w:r>
              <w:rPr>
                <w:vertAlign w:val="superscript"/>
              </w:rPr>
              <w:t>2)</w:t>
            </w:r>
          </w:p>
        </w:tc>
        <w:tc>
          <w:tcPr>
            <w:tcW w:w="57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Группа видов спорта для цветной телепередачи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3FCA"/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II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III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A3FCA"/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Баскетбол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Бег (пробеги и кросс)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10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lastRenderedPageBreak/>
              <w:t>Бобслей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Велогонки </w:t>
            </w:r>
            <w:r>
              <w:rPr>
                <w:vertAlign w:val="superscript"/>
              </w:rPr>
              <w:t>5,6)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Водные виды спорта </w:t>
            </w:r>
            <w:r>
              <w:rPr>
                <w:vertAlign w:val="superscript"/>
              </w:rPr>
              <w:t>7)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Волейбол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Гандбол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Гольф (тренировочное поле)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100</w:t>
            </w:r>
            <w:r>
              <w:rPr>
                <w:vertAlign w:val="subscript"/>
              </w:rPr>
              <w:t xml:space="preserve">8)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50</w:t>
            </w:r>
            <w:r>
              <w:rPr>
                <w:vertAlign w:val="subscript"/>
              </w:rPr>
              <w:t>9)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Горные лыжи </w:t>
            </w:r>
            <w:r>
              <w:rPr>
                <w:vertAlign w:val="superscript"/>
              </w:rPr>
              <w:t>10)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20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55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Картинг </w:t>
            </w:r>
            <w:r>
              <w:rPr>
                <w:vertAlign w:val="superscript"/>
              </w:rPr>
              <w:t>6)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Кёрлинг </w:t>
            </w:r>
            <w:r>
              <w:rPr>
                <w:vertAlign w:val="superscript"/>
              </w:rPr>
              <w:t>11)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Конный спорт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200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Конькобежный спорт (классический и шорт-трек) </w:t>
            </w:r>
            <w:r>
              <w:rPr>
                <w:vertAlign w:val="superscript"/>
              </w:rPr>
              <w:t>5)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55</w:t>
            </w:r>
            <w:r>
              <w:rPr>
                <w:vertAlign w:val="subscript"/>
              </w:rPr>
              <w:t xml:space="preserve">12)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Легкая атлетика (все виды) </w:t>
            </w:r>
            <w:r>
              <w:rPr>
                <w:vertAlign w:val="superscript"/>
              </w:rPr>
              <w:t>5)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100</w:t>
            </w:r>
            <w:r>
              <w:rPr>
                <w:vertAlign w:val="subscript"/>
              </w:rPr>
              <w:t xml:space="preserve">13)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Лыжные гонки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10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Нетбол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Перетягивание каната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Пляжный волейбол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Прыжки с трамплина </w:t>
            </w:r>
            <w:r>
              <w:rPr>
                <w:vertAlign w:val="superscript"/>
              </w:rPr>
              <w:t>10,14)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55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Регби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Санный спорт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300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200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Скачки и бега </w:t>
            </w:r>
            <w:r>
              <w:rPr>
                <w:vertAlign w:val="superscript"/>
              </w:rPr>
              <w:t>5)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100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50</w:t>
            </w:r>
            <w:r>
              <w:rPr>
                <w:vertAlign w:val="subscript"/>
              </w:rPr>
              <w:t xml:space="preserve">15)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u w:val="single"/>
              </w:rPr>
              <w:t>750</w:t>
            </w:r>
            <w:r>
              <w:rPr>
                <w:vertAlign w:val="subscript"/>
              </w:rPr>
              <w:t xml:space="preserve">16,17) </w:t>
            </w:r>
            <w:r>
              <w:t>0,6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300</w:t>
            </w:r>
            <w:r>
              <w:rPr>
                <w:vertAlign w:val="subscript"/>
              </w:rPr>
              <w:t>17,18)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u w:val="single"/>
              </w:rPr>
              <w:t>100</w:t>
            </w:r>
            <w:r>
              <w:rPr>
                <w:vertAlign w:val="subscript"/>
              </w:rPr>
              <w:t xml:space="preserve">19) </w:t>
            </w:r>
            <w:r>
              <w:t>0,3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lastRenderedPageBreak/>
              <w:t xml:space="preserve">Стендовая стрельба </w:t>
            </w:r>
            <w:r>
              <w:rPr>
                <w:vertAlign w:val="superscript"/>
              </w:rPr>
              <w:t>20)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200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200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Стрельба из лука </w:t>
            </w:r>
            <w:r>
              <w:rPr>
                <w:vertAlign w:val="superscript"/>
              </w:rPr>
              <w:t>20)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Теннис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 xml:space="preserve">Фристайл </w:t>
            </w:r>
            <w:r>
              <w:rPr>
                <w:vertAlign w:val="superscript"/>
              </w:rPr>
              <w:t>10)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100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30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55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Футбол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Хоккей на траве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200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55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Хоккей с мячом (бенди)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20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</w:pPr>
            <w:r>
              <w:t>Хоккей с шайбой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750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500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 xml:space="preserve">200 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  <w:jc w:val="center"/>
            </w:pPr>
            <w:r>
              <w:rPr>
                <w:u w:val="single"/>
              </w:rPr>
              <w:t>-</w:t>
            </w:r>
          </w:p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</w:tr>
      <w:tr w:rsidR="00000000">
        <w:trPr>
          <w:trHeight w:val="974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lastRenderedPageBreak/>
              <w:t>1)</w:t>
            </w:r>
            <w:r>
              <w:t xml:space="preserve"> В числителе указана средняя горизонтальная освещенность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), </w:t>
            </w:r>
            <w:r>
              <w:t xml:space="preserve">в знаменателе - равномерность горизонтальной освещенности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мин</w:t>
            </w:r>
            <w:r>
              <w:rPr>
                <w:i/>
                <w:iCs/>
              </w:rPr>
              <w:t>/Е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>).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2)</w:t>
            </w:r>
            <w:r>
              <w:t xml:space="preserve"> Классы освещения принимают по таблице 2.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3)</w:t>
            </w:r>
            <w:r>
              <w:t xml:space="preserve"> </w:t>
            </w:r>
            <w:r>
              <w:t xml:space="preserve">В числителе указана средняя вертикальная освещенность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), </w:t>
            </w:r>
            <w:r>
              <w:t xml:space="preserve">в знаменателе - равномерность вертикальной освещенности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мин</w:t>
            </w:r>
            <w:r>
              <w:rPr>
                <w:i/>
                <w:iCs/>
              </w:rPr>
              <w:t>/Е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). </w:t>
            </w:r>
            <w:r>
              <w:t xml:space="preserve">Пробел «-» означает, что параметр(-ы) не нормируется.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4)</w:t>
            </w:r>
            <w:r>
              <w:t xml:space="preserve"> Вчислителе указан коэффициент блескости </w:t>
            </w:r>
            <w:r>
              <w:rPr>
                <w:i/>
                <w:iCs/>
              </w:rPr>
              <w:t xml:space="preserve">(GR), </w:t>
            </w:r>
            <w:r>
              <w:t xml:space="preserve">в знаменателе - индекс </w:t>
            </w:r>
            <w:r>
              <w:t>цветопередачи источника света (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a</w:t>
            </w:r>
            <w:r>
              <w:t xml:space="preserve">). Пробел «-» означает, что соответствующий параметр не нормируется.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5)</w:t>
            </w:r>
            <w:r>
              <w:t xml:space="preserve"> Вертикальная освещенность на финишной черте должна составлять 1000 лк для оборудования фотофиниша и официальных лиц.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6)</w:t>
            </w:r>
            <w:r>
              <w:t xml:space="preserve"> Указана горизонтальная освещен</w:t>
            </w:r>
            <w:r>
              <w:t xml:space="preserve">ность на поверхности трека.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7)</w:t>
            </w:r>
            <w:r>
              <w:t xml:space="preserve"> Указаны общие требования (для конкретных бассейнов могут потребоваться особые требования). Для освещения бассейнов, в которых проводятся соревнования по плаванию и водному поло, не допускается использование подводных светиль</w:t>
            </w:r>
            <w:r>
              <w:t xml:space="preserve">ников. Для прыжков в воду устанавливаются дополнительные требования к отношению средней горизонтальной освещенности к средней вертикальной освещенности: </w:t>
            </w:r>
          </w:p>
          <w:p w:rsidR="00000000" w:rsidRDefault="003A3FCA">
            <w:pPr>
              <w:spacing w:line="276" w:lineRule="auto"/>
            </w:pPr>
            <w:r>
              <w:t xml:space="preserve">- для класса освещения I - 0,8; </w:t>
            </w:r>
          </w:p>
          <w:p w:rsidR="00000000" w:rsidRDefault="003A3FCA">
            <w:pPr>
              <w:spacing w:line="276" w:lineRule="auto"/>
            </w:pPr>
            <w:r>
              <w:t xml:space="preserve">- для класса освещения II - 0,5; </w:t>
            </w:r>
          </w:p>
          <w:p w:rsidR="00000000" w:rsidRDefault="003A3FCA">
            <w:pPr>
              <w:spacing w:line="276" w:lineRule="auto"/>
            </w:pPr>
            <w:r>
              <w:t xml:space="preserve">- для класса освещения III - 0,5.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8)</w:t>
            </w:r>
            <w:r>
              <w:t xml:space="preserve"> Горизонтальная освещенность на ти-боксе.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9)</w:t>
            </w:r>
            <w:r>
              <w:t xml:space="preserve"> Вертикальная освещенность на маркере дистанции (на высоте 1 м).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10)</w:t>
            </w:r>
            <w:r>
              <w:t xml:space="preserve"> Все показатели освещенности измеряются на поверхности.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11)</w:t>
            </w:r>
            <w:r>
              <w:t xml:space="preserve"> Приведена средняя горизонтальная освещенность для «дома». Для «поля» средняя го</w:t>
            </w:r>
            <w:r>
              <w:t xml:space="preserve">ризонтальная освещенность составляет 200 лк при указанной равномерности освещенности для всех классов освещения.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12)</w:t>
            </w:r>
            <w:r>
              <w:t xml:space="preserve"> Допускается снижать индекс цветопередачи источника света </w:t>
            </w:r>
            <w:r>
              <w:rPr>
                <w:i/>
                <w:iCs/>
              </w:rPr>
              <w:t>(R</w:t>
            </w:r>
            <w:r>
              <w:rPr>
                <w:i/>
                <w:iCs/>
                <w:vertAlign w:val="subscript"/>
              </w:rPr>
              <w:t>a</w:t>
            </w:r>
            <w:r>
              <w:rPr>
                <w:i/>
                <w:iCs/>
              </w:rPr>
              <w:t xml:space="preserve">) </w:t>
            </w:r>
            <w:r>
              <w:t xml:space="preserve">до 20.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13)</w:t>
            </w:r>
            <w:r>
              <w:t xml:space="preserve"> Среднюю горизонтальную освещенность допускается уменьшать до 50 </w:t>
            </w:r>
            <w:r>
              <w:t xml:space="preserve">лк для беговых видов спорта.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14)</w:t>
            </w:r>
            <w:r>
              <w:t xml:space="preserve"> Приведены нормы горизонтальной освещенности в зоне приземления. В зоне разгона нормы горизонтальной освещенности составляют: </w:t>
            </w:r>
          </w:p>
          <w:p w:rsidR="00000000" w:rsidRDefault="003A3FCA">
            <w:pPr>
              <w:spacing w:line="276" w:lineRule="auto"/>
            </w:pPr>
            <w:r>
              <w:t xml:space="preserve">- для класса освещения I - средняя освещенность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 </w:t>
            </w:r>
            <w:r>
              <w:t xml:space="preserve">150 лк, равномерность освещенности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мин</w:t>
            </w:r>
            <w:r>
              <w:rPr>
                <w:i/>
                <w:iCs/>
              </w:rPr>
              <w:t>/Е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 </w:t>
            </w:r>
            <w:r>
              <w:t xml:space="preserve">0,5; </w:t>
            </w:r>
          </w:p>
          <w:p w:rsidR="00000000" w:rsidRDefault="003A3FCA">
            <w:pPr>
              <w:spacing w:line="276" w:lineRule="auto"/>
            </w:pPr>
            <w:r>
              <w:t xml:space="preserve">- для класса освещения II - средняя освещенность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 </w:t>
            </w:r>
            <w:r>
              <w:t xml:space="preserve">50 лк, равномерность освещенности </w:t>
            </w:r>
            <w:r>
              <w:rPr>
                <w:i/>
                <w:iCs/>
              </w:rPr>
              <w:t>(E</w:t>
            </w:r>
            <w:r>
              <w:rPr>
                <w:i/>
                <w:iCs/>
                <w:vertAlign w:val="subscript"/>
              </w:rPr>
              <w:t>мин</w:t>
            </w:r>
            <w:r>
              <w:rPr>
                <w:i/>
                <w:iCs/>
              </w:rPr>
              <w:t>/E</w:t>
            </w:r>
            <w:r>
              <w:rPr>
                <w:i/>
                <w:iCs/>
                <w:vertAlign w:val="subscript"/>
              </w:rPr>
              <w:t>cp</w:t>
            </w:r>
            <w:r>
              <w:rPr>
                <w:i/>
                <w:iCs/>
              </w:rPr>
              <w:t xml:space="preserve">) </w:t>
            </w:r>
            <w:r>
              <w:t xml:space="preserve">0,3; </w:t>
            </w:r>
          </w:p>
          <w:p w:rsidR="00000000" w:rsidRDefault="003A3FCA">
            <w:pPr>
              <w:spacing w:line="276" w:lineRule="auto"/>
            </w:pPr>
            <w:r>
              <w:t xml:space="preserve">- для класса освещения III - средняя освещенность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ср</w:t>
            </w:r>
            <w:r>
              <w:rPr>
                <w:i/>
                <w:iCs/>
              </w:rPr>
              <w:t xml:space="preserve">) </w:t>
            </w:r>
            <w:r>
              <w:t xml:space="preserve">20 лк, равномерность освещенности </w:t>
            </w:r>
            <w:r>
              <w:rPr>
                <w:i/>
                <w:iCs/>
              </w:rPr>
              <w:t>(Е</w:t>
            </w:r>
            <w:r>
              <w:rPr>
                <w:i/>
                <w:iCs/>
                <w:vertAlign w:val="subscript"/>
              </w:rPr>
              <w:t>мин</w:t>
            </w:r>
            <w:r>
              <w:rPr>
                <w:i/>
                <w:iCs/>
              </w:rPr>
              <w:t>/Е</w:t>
            </w:r>
            <w:r>
              <w:rPr>
                <w:i/>
                <w:iCs/>
                <w:vertAlign w:val="subscript"/>
              </w:rPr>
              <w:t>с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 xml:space="preserve">) </w:t>
            </w:r>
            <w:r>
              <w:t>0,3.</w:t>
            </w:r>
          </w:p>
          <w:p w:rsidR="00000000" w:rsidRDefault="003A3FCA">
            <w:pPr>
              <w:spacing w:line="276" w:lineRule="auto"/>
            </w:pPr>
            <w:r>
              <w:t>На столе отрыва нормы освещенности следует принимать равными нормам освещенности в зоне приземления. На площадке остановки уровень освещенности должен составлять не менее 30% от уровня освещенности зоны приземления (равномерность освещенности не но</w:t>
            </w:r>
            <w:r>
              <w:t xml:space="preserve">рмируется).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15)</w:t>
            </w:r>
            <w:r>
              <w:t xml:space="preserve"> Когда лошади находятся на обсервации, величина средней горизонтальной освещенности должна составлять 100 лк.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16)</w:t>
            </w:r>
            <w:r>
              <w:t xml:space="preserve"> Указана средняя вертикальная освещенность для финишной прямой. Для противоположной прямой и поворотов скакового круга средняя</w:t>
            </w:r>
            <w:r>
              <w:t xml:space="preserve"> вертикальная </w:t>
            </w:r>
            <w:r>
              <w:lastRenderedPageBreak/>
              <w:t xml:space="preserve">освещенность должна составлять 500 лк (требования к равномерности освещенности - такие же как для финишной прямой - в продольной и поперечной плоскостях).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17)</w:t>
            </w:r>
            <w:r>
              <w:t xml:space="preserve"> Указана равномерность вертикальной освещенности в продольной плоскости. В поперечн</w:t>
            </w:r>
            <w:r>
              <w:t xml:space="preserve">ой плоскости равномерность вертикальной освещенности должна составлять 0,4 при указанной средней освещенности.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18)</w:t>
            </w:r>
            <w:r>
              <w:t xml:space="preserve"> Указана средняя вертикальная освещенность для финишной прямой. Для противоположной прямой и поворотов скакового круга средняя вертикальная о</w:t>
            </w:r>
            <w:r>
              <w:t xml:space="preserve">свещенность должна составлять 200 лк (требования к равномерности освещенности - такие же как для финишной прямой - в продольной и поперечной плоскостях). </w:t>
            </w:r>
          </w:p>
          <w:p w:rsidR="00000000" w:rsidRDefault="003A3FCA">
            <w:pPr>
              <w:spacing w:line="276" w:lineRule="auto"/>
            </w:pPr>
            <w:r>
              <w:rPr>
                <w:vertAlign w:val="superscript"/>
              </w:rPr>
              <w:t>19)</w:t>
            </w:r>
            <w:r>
              <w:t xml:space="preserve"> Нормируемые показатели для финишной прямой (для противоположной прямой и поворотов скакового круг</w:t>
            </w:r>
            <w:r>
              <w:t xml:space="preserve">а - не нормируются). </w:t>
            </w:r>
          </w:p>
          <w:p w:rsidR="00000000" w:rsidRDefault="003A3FCA">
            <w:pPr>
              <w:spacing w:line="276" w:lineRule="auto"/>
            </w:pPr>
            <w:r>
              <w:t xml:space="preserve">Указана равномерность вертикальной освещенности в продольной плоскости (в поперечной плоскости - не нормируется). </w:t>
            </w:r>
          </w:p>
          <w:p w:rsidR="00000000" w:rsidRDefault="003A3FCA">
            <w:pPr>
              <w:autoSpaceDE w:val="0"/>
              <w:autoSpaceDN w:val="0"/>
              <w:spacing w:line="276" w:lineRule="auto"/>
            </w:pPr>
            <w:r>
              <w:rPr>
                <w:vertAlign w:val="superscript"/>
              </w:rPr>
              <w:t>20)</w:t>
            </w:r>
            <w:r>
              <w:t xml:space="preserve"> Горизонтальная освещенность нормируется для линии огня, вертикальная - для зоны полета мишеней.</w:t>
            </w:r>
          </w:p>
        </w:tc>
      </w:tr>
    </w:tbl>
    <w:p w:rsidR="00000000" w:rsidRDefault="003A3FCA">
      <w:pPr>
        <w:ind w:firstLine="426"/>
        <w:jc w:val="both"/>
      </w:pPr>
      <w:r>
        <w:lastRenderedPageBreak/>
        <w:t> </w:t>
      </w:r>
    </w:p>
    <w:p w:rsidR="00000000" w:rsidRDefault="003A3FCA">
      <w:pPr>
        <w:ind w:firstLine="426"/>
        <w:jc w:val="both"/>
      </w:pPr>
      <w:r>
        <w:rPr>
          <w:b/>
          <w:bCs/>
        </w:rPr>
        <w:t>УДК 721:535.241.46.006.354               МКС 91.040</w:t>
      </w:r>
    </w:p>
    <w:p w:rsidR="00000000" w:rsidRDefault="003A3FCA">
      <w:pPr>
        <w:ind w:firstLine="426"/>
        <w:jc w:val="both"/>
      </w:pPr>
      <w:r>
        <w:rPr>
          <w:b/>
          <w:bCs/>
        </w:rPr>
        <w:t> </w:t>
      </w:r>
    </w:p>
    <w:p w:rsidR="00000000" w:rsidRDefault="003A3FCA">
      <w:pPr>
        <w:ind w:firstLine="400"/>
        <w:jc w:val="both"/>
      </w:pPr>
      <w:r>
        <w:rPr>
          <w:b/>
          <w:bCs/>
        </w:rPr>
        <w:t xml:space="preserve">Ключевые слова: </w:t>
      </w:r>
      <w:r>
        <w:t xml:space="preserve">наружное электрическое освещение, освещенность, яркость, светотехнический расчет, светильник, опора наружного освещения, установка наружного освещения, пересечение, конфликтная площадь, </w:t>
      </w:r>
      <w:r>
        <w:t>расчетное поле, верификация.</w:t>
      </w:r>
    </w:p>
    <w:p w:rsidR="00000000" w:rsidRDefault="003A3FCA">
      <w:pPr>
        <w:ind w:firstLine="400"/>
        <w:jc w:val="both"/>
      </w:pPr>
      <w:r>
        <w:rPr>
          <w:rStyle w:val="s0"/>
        </w:rPr>
        <w:t> </w:t>
      </w:r>
    </w:p>
    <w:p w:rsidR="00000000" w:rsidRDefault="003A3FCA">
      <w:pPr>
        <w:ind w:firstLine="400"/>
        <w:jc w:val="both"/>
      </w:pPr>
      <w:r>
        <w:rPr>
          <w:rStyle w:val="s0"/>
        </w:rPr>
        <w:t> </w:t>
      </w:r>
    </w:p>
    <w:p w:rsidR="00000000" w:rsidRDefault="003A3FCA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102"/>
      <w:headerReference w:type="default" r:id="rId103"/>
      <w:footerReference w:type="even" r:id="rId104"/>
      <w:footerReference w:type="default" r:id="rId105"/>
      <w:headerReference w:type="first" r:id="rId106"/>
      <w:footerReference w:type="first" r:id="rId10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FCA" w:rsidRDefault="003A3FCA" w:rsidP="003A3FCA">
      <w:r>
        <w:separator/>
      </w:r>
    </w:p>
  </w:endnote>
  <w:endnote w:type="continuationSeparator" w:id="0">
    <w:p w:rsidR="003A3FCA" w:rsidRDefault="003A3FCA" w:rsidP="003A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FCA" w:rsidRDefault="003A3FC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FCA" w:rsidRDefault="003A3FC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FCA" w:rsidRDefault="003A3FC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FCA" w:rsidRDefault="003A3FCA" w:rsidP="003A3FCA">
      <w:r>
        <w:separator/>
      </w:r>
    </w:p>
  </w:footnote>
  <w:footnote w:type="continuationSeparator" w:id="0">
    <w:p w:rsidR="003A3FCA" w:rsidRDefault="003A3FCA" w:rsidP="003A3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FCA" w:rsidRDefault="003A3FC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FCA" w:rsidRDefault="003A3FCA" w:rsidP="003A3FC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A3FCA" w:rsidRDefault="003A3FCA" w:rsidP="003A3FC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4.04-104-2013 «Наружное электрическое освещение городов, поселков и сельских населенных пунктов»</w:t>
    </w:r>
  </w:p>
  <w:p w:rsidR="003A3FCA" w:rsidRPr="003A3FCA" w:rsidRDefault="003A3FCA" w:rsidP="003A3FC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FCA" w:rsidRDefault="003A3F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CA"/>
    <w:rsid w:val="003A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FED75-8B29-4202-AA56-B464A1FD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A3F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3FC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A3F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3FC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377519" TargetMode="External"/><Relationship Id="rId21" Type="http://schemas.openxmlformats.org/officeDocument/2006/relationships/hyperlink" Target="http://online.zakon.kz/Document/?doc_id=32797474" TargetMode="External"/><Relationship Id="rId42" Type="http://schemas.openxmlformats.org/officeDocument/2006/relationships/hyperlink" Target="http://online.zakon.kz/Document/?doc_id=30182076" TargetMode="External"/><Relationship Id="rId47" Type="http://schemas.openxmlformats.org/officeDocument/2006/relationships/image" Target="media/image5.jpeg"/><Relationship Id="rId63" Type="http://schemas.openxmlformats.org/officeDocument/2006/relationships/hyperlink" Target="http://online.zakon.kz/Document/?doc_id=32797474" TargetMode="External"/><Relationship Id="rId68" Type="http://schemas.openxmlformats.org/officeDocument/2006/relationships/image" Target="media/image11.jpeg"/><Relationship Id="rId84" Type="http://schemas.openxmlformats.org/officeDocument/2006/relationships/image" Target="media/image19.jpeg"/><Relationship Id="rId89" Type="http://schemas.openxmlformats.org/officeDocument/2006/relationships/image" Target="https://prod-prg-document-store-api.azurewebsites.net/api/DocumentObject/GetImageAsync?ImageId=41034141" TargetMode="External"/><Relationship Id="rId16" Type="http://schemas.openxmlformats.org/officeDocument/2006/relationships/hyperlink" Target="http://online.zakon.kz/Document/?doc_id=32797474" TargetMode="External"/><Relationship Id="rId107" Type="http://schemas.openxmlformats.org/officeDocument/2006/relationships/footer" Target="footer3.xml"/><Relationship Id="rId11" Type="http://schemas.openxmlformats.org/officeDocument/2006/relationships/hyperlink" Target="http://online.zakon.kz/Document/?doc_id=32797474" TargetMode="External"/><Relationship Id="rId32" Type="http://schemas.openxmlformats.org/officeDocument/2006/relationships/hyperlink" Target="http://online.zakon.kz/Document/?doc_id=38588660" TargetMode="External"/><Relationship Id="rId37" Type="http://schemas.openxmlformats.org/officeDocument/2006/relationships/image" Target="https://prod-prg-document-store-api.azurewebsites.net/api/DocumentObject/GetImageAsync?ImageId=41034121" TargetMode="External"/><Relationship Id="rId53" Type="http://schemas.openxmlformats.org/officeDocument/2006/relationships/image" Target="https://prod-prg-document-store-api.azurewebsites.net/api/DocumentObject/GetImageAsync?ImageId=41034127" TargetMode="External"/><Relationship Id="rId58" Type="http://schemas.openxmlformats.org/officeDocument/2006/relationships/hyperlink" Target="http://online.zakon.kz/Document/?doc_id=32797474" TargetMode="External"/><Relationship Id="rId74" Type="http://schemas.openxmlformats.org/officeDocument/2006/relationships/image" Target="media/image14.jpeg"/><Relationship Id="rId79" Type="http://schemas.openxmlformats.org/officeDocument/2006/relationships/image" Target="https://prod-prg-document-store-api.azurewebsites.net/api/DocumentObject/GetImageAsync?ImageId=41034136" TargetMode="External"/><Relationship Id="rId102" Type="http://schemas.openxmlformats.org/officeDocument/2006/relationships/header" Target="header1.xml"/><Relationship Id="rId5" Type="http://schemas.openxmlformats.org/officeDocument/2006/relationships/endnotes" Target="endnotes.xml"/><Relationship Id="rId90" Type="http://schemas.openxmlformats.org/officeDocument/2006/relationships/image" Target="media/image22.jpeg"/><Relationship Id="rId95" Type="http://schemas.openxmlformats.org/officeDocument/2006/relationships/image" Target="https://prod-prg-document-store-api.azurewebsites.net/api/DocumentObject/GetImageAsync?ImageId=41034144" TargetMode="External"/><Relationship Id="rId22" Type="http://schemas.openxmlformats.org/officeDocument/2006/relationships/hyperlink" Target="http://online.zakon.kz/Document/?doc_id=32797474" TargetMode="External"/><Relationship Id="rId27" Type="http://schemas.openxmlformats.org/officeDocument/2006/relationships/hyperlink" Target="http://online.zakon.kz/Document/?doc_id=32199096" TargetMode="External"/><Relationship Id="rId43" Type="http://schemas.openxmlformats.org/officeDocument/2006/relationships/image" Target="media/image3.jpeg"/><Relationship Id="rId48" Type="http://schemas.openxmlformats.org/officeDocument/2006/relationships/image" Target="https://prod-prg-document-store-api.azurewebsites.net/api/DocumentObject/GetImageAsync?ImageId=41034125" TargetMode="External"/><Relationship Id="rId64" Type="http://schemas.openxmlformats.org/officeDocument/2006/relationships/image" Target="media/image9.jpeg"/><Relationship Id="rId69" Type="http://schemas.openxmlformats.org/officeDocument/2006/relationships/image" Target="https://prod-prg-document-store-api.azurewebsites.net/api/DocumentObject/GetImageAsync?ImageId=41034131" TargetMode="External"/><Relationship Id="rId80" Type="http://schemas.openxmlformats.org/officeDocument/2006/relationships/image" Target="media/image17.jpeg"/><Relationship Id="rId85" Type="http://schemas.openxmlformats.org/officeDocument/2006/relationships/image" Target="https://prod-prg-document-store-api.azurewebsites.net/api/DocumentObject/GetImageAsync?ImageId=41034139" TargetMode="External"/><Relationship Id="rId12" Type="http://schemas.openxmlformats.org/officeDocument/2006/relationships/hyperlink" Target="http://online.zakon.kz/Document/?doc_id=32797474" TargetMode="External"/><Relationship Id="rId17" Type="http://schemas.openxmlformats.org/officeDocument/2006/relationships/hyperlink" Target="http://online.zakon.kz/Document/?doc_id=32797474" TargetMode="External"/><Relationship Id="rId33" Type="http://schemas.openxmlformats.org/officeDocument/2006/relationships/hyperlink" Target="http://online.zakon.kz/Document/?doc_id=38588660" TargetMode="External"/><Relationship Id="rId38" Type="http://schemas.openxmlformats.org/officeDocument/2006/relationships/hyperlink" Target="http://online.zakon.kz/Document/?doc_id=32797474" TargetMode="External"/><Relationship Id="rId59" Type="http://schemas.openxmlformats.org/officeDocument/2006/relationships/hyperlink" Target="http://online.zakon.kz/Document/?doc_id=32797474" TargetMode="External"/><Relationship Id="rId103" Type="http://schemas.openxmlformats.org/officeDocument/2006/relationships/header" Target="header2.xml"/><Relationship Id="rId108" Type="http://schemas.openxmlformats.org/officeDocument/2006/relationships/fontTable" Target="fontTable.xml"/><Relationship Id="rId54" Type="http://schemas.openxmlformats.org/officeDocument/2006/relationships/image" Target="media/image8.jpeg"/><Relationship Id="rId70" Type="http://schemas.openxmlformats.org/officeDocument/2006/relationships/image" Target="media/image12.jpeg"/><Relationship Id="rId75" Type="http://schemas.openxmlformats.org/officeDocument/2006/relationships/image" Target="https://prod-prg-document-store-api.azurewebsites.net/api/DocumentObject/GetImageAsync?ImageId=41034134" TargetMode="External"/><Relationship Id="rId91" Type="http://schemas.openxmlformats.org/officeDocument/2006/relationships/image" Target="https://prod-prg-document-store-api.azurewebsites.net/api/DocumentObject/GetImageAsync?ImageId=41034142" TargetMode="External"/><Relationship Id="rId96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797474" TargetMode="External"/><Relationship Id="rId15" Type="http://schemas.openxmlformats.org/officeDocument/2006/relationships/hyperlink" Target="http://online.zakon.kz/Document/?doc_id=32797474" TargetMode="External"/><Relationship Id="rId23" Type="http://schemas.openxmlformats.org/officeDocument/2006/relationships/hyperlink" Target="http://online.zakon.kz/Document/?doc_id=32797474" TargetMode="External"/><Relationship Id="rId28" Type="http://schemas.openxmlformats.org/officeDocument/2006/relationships/hyperlink" Target="http://online.zakon.kz/Document/?doc_id=38588660" TargetMode="External"/><Relationship Id="rId36" Type="http://schemas.openxmlformats.org/officeDocument/2006/relationships/image" Target="media/image1.jpeg"/><Relationship Id="rId49" Type="http://schemas.openxmlformats.org/officeDocument/2006/relationships/image" Target="media/image6.jpeg"/><Relationship Id="rId57" Type="http://schemas.openxmlformats.org/officeDocument/2006/relationships/hyperlink" Target="http://online.zakon.kz/Document/?doc_id=32797474" TargetMode="External"/><Relationship Id="rId106" Type="http://schemas.openxmlformats.org/officeDocument/2006/relationships/header" Target="header3.xml"/><Relationship Id="rId10" Type="http://schemas.openxmlformats.org/officeDocument/2006/relationships/hyperlink" Target="http://online.zakon.kz/Document/?doc_id=32797474" TargetMode="External"/><Relationship Id="rId31" Type="http://schemas.openxmlformats.org/officeDocument/2006/relationships/hyperlink" Target="http://online.zakon.kz/Document/?doc_id=31335497" TargetMode="External"/><Relationship Id="rId44" Type="http://schemas.openxmlformats.org/officeDocument/2006/relationships/image" Target="https://prod-prg-document-store-api.azurewebsites.net/api/DocumentObject/GetImageAsync?ImageId=41034123" TargetMode="External"/><Relationship Id="rId52" Type="http://schemas.openxmlformats.org/officeDocument/2006/relationships/image" Target="media/image7.gif"/><Relationship Id="rId60" Type="http://schemas.openxmlformats.org/officeDocument/2006/relationships/hyperlink" Target="http://online.zakon.kz/Document/?doc_id=32797474" TargetMode="External"/><Relationship Id="rId65" Type="http://schemas.openxmlformats.org/officeDocument/2006/relationships/image" Target="https://prod-prg-document-store-api.azurewebsites.net/api/DocumentObject/GetImageAsync?ImageId=41034129" TargetMode="External"/><Relationship Id="rId73" Type="http://schemas.openxmlformats.org/officeDocument/2006/relationships/image" Target="https://prod-prg-document-store-api.azurewebsites.net/api/DocumentObject/GetImageAsync?ImageId=41034133" TargetMode="External"/><Relationship Id="rId78" Type="http://schemas.openxmlformats.org/officeDocument/2006/relationships/image" Target="media/image16.jpeg"/><Relationship Id="rId81" Type="http://schemas.openxmlformats.org/officeDocument/2006/relationships/image" Target="https://prod-prg-document-store-api.azurewebsites.net/api/DocumentObject/GetImageAsync?ImageId=41034137" TargetMode="External"/><Relationship Id="rId86" Type="http://schemas.openxmlformats.org/officeDocument/2006/relationships/image" Target="media/image20.jpeg"/><Relationship Id="rId94" Type="http://schemas.openxmlformats.org/officeDocument/2006/relationships/image" Target="media/image24.jpeg"/><Relationship Id="rId99" Type="http://schemas.openxmlformats.org/officeDocument/2006/relationships/image" Target="https://prod-prg-document-store-api.azurewebsites.net/api/DocumentObject/GetImageAsync?ImageId=41034146" TargetMode="External"/><Relationship Id="rId101" Type="http://schemas.openxmlformats.org/officeDocument/2006/relationships/image" Target="https://prod-prg-document-store-api.azurewebsites.net/api/DocumentObject/GetImageAsync?ImageId=4103414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797474" TargetMode="External"/><Relationship Id="rId13" Type="http://schemas.openxmlformats.org/officeDocument/2006/relationships/hyperlink" Target="http://online.zakon.kz/Document/?doc_id=32797474" TargetMode="External"/><Relationship Id="rId18" Type="http://schemas.openxmlformats.org/officeDocument/2006/relationships/hyperlink" Target="http://online.zakon.kz/Document/?doc_id=32797474" TargetMode="External"/><Relationship Id="rId39" Type="http://schemas.openxmlformats.org/officeDocument/2006/relationships/hyperlink" Target="http://online.zakon.kz/Document/?doc_id=32797474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://online.zakon.kz/Document/?doc_id=32199096" TargetMode="External"/><Relationship Id="rId50" Type="http://schemas.openxmlformats.org/officeDocument/2006/relationships/image" Target="https://prod-prg-document-store-api.azurewebsites.net/api/DocumentObject/GetImageAsync?ImageId=41034126" TargetMode="External"/><Relationship Id="rId55" Type="http://schemas.openxmlformats.org/officeDocument/2006/relationships/image" Target="https://prod-prg-document-store-api.azurewebsites.net/api/DocumentObject/GetImageAsync?ImageId=41034128" TargetMode="External"/><Relationship Id="rId76" Type="http://schemas.openxmlformats.org/officeDocument/2006/relationships/image" Target="media/image15.jpeg"/><Relationship Id="rId97" Type="http://schemas.openxmlformats.org/officeDocument/2006/relationships/image" Target="https://prod-prg-document-store-api.azurewebsites.net/api/DocumentObject/GetImageAsync?ImageId=41034145" TargetMode="External"/><Relationship Id="rId104" Type="http://schemas.openxmlformats.org/officeDocument/2006/relationships/footer" Target="footer1.xml"/><Relationship Id="rId7" Type="http://schemas.openxmlformats.org/officeDocument/2006/relationships/hyperlink" Target="http://online.zakon.kz/Document/?doc_id=32797474" TargetMode="External"/><Relationship Id="rId71" Type="http://schemas.openxmlformats.org/officeDocument/2006/relationships/image" Target="https://prod-prg-document-store-api.azurewebsites.net/api/DocumentObject/GetImageAsync?ImageId=41034132" TargetMode="External"/><Relationship Id="rId92" Type="http://schemas.openxmlformats.org/officeDocument/2006/relationships/image" Target="media/image23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199096" TargetMode="External"/><Relationship Id="rId24" Type="http://schemas.openxmlformats.org/officeDocument/2006/relationships/hyperlink" Target="http://online.zakon.kz/Document/?doc_id=32797474" TargetMode="External"/><Relationship Id="rId40" Type="http://schemas.openxmlformats.org/officeDocument/2006/relationships/image" Target="media/image2.jpeg"/><Relationship Id="rId45" Type="http://schemas.openxmlformats.org/officeDocument/2006/relationships/image" Target="media/image4.jpeg"/><Relationship Id="rId66" Type="http://schemas.openxmlformats.org/officeDocument/2006/relationships/image" Target="media/image10.jpeg"/><Relationship Id="rId87" Type="http://schemas.openxmlformats.org/officeDocument/2006/relationships/image" Target="https://prod-prg-document-store-api.azurewebsites.net/api/DocumentObject/GetImageAsync?ImageId=41034140" TargetMode="External"/><Relationship Id="rId61" Type="http://schemas.openxmlformats.org/officeDocument/2006/relationships/hyperlink" Target="http://online.zakon.kz/Document/?doc_id=32797474" TargetMode="External"/><Relationship Id="rId82" Type="http://schemas.openxmlformats.org/officeDocument/2006/relationships/image" Target="media/image18.jpeg"/><Relationship Id="rId19" Type="http://schemas.openxmlformats.org/officeDocument/2006/relationships/hyperlink" Target="http://online.zakon.kz/Document/?doc_id=32797474" TargetMode="External"/><Relationship Id="rId14" Type="http://schemas.openxmlformats.org/officeDocument/2006/relationships/hyperlink" Target="http://online.zakon.kz/Document/?doc_id=32797474" TargetMode="External"/><Relationship Id="rId30" Type="http://schemas.openxmlformats.org/officeDocument/2006/relationships/hyperlink" Target="http://online.zakon.kz/Document/?doc_id=30182076" TargetMode="External"/><Relationship Id="rId35" Type="http://schemas.openxmlformats.org/officeDocument/2006/relationships/hyperlink" Target="http://online.zakon.kz/Document/?doc_id=32797474" TargetMode="External"/><Relationship Id="rId56" Type="http://schemas.openxmlformats.org/officeDocument/2006/relationships/hyperlink" Target="http://online.zakon.kz/Document/?doc_id=32797474" TargetMode="External"/><Relationship Id="rId77" Type="http://schemas.openxmlformats.org/officeDocument/2006/relationships/image" Target="https://prod-prg-document-store-api.azurewebsites.net/api/DocumentObject/GetImageAsync?ImageId=41034135" TargetMode="External"/><Relationship Id="rId100" Type="http://schemas.openxmlformats.org/officeDocument/2006/relationships/image" Target="media/image27.jpeg"/><Relationship Id="rId105" Type="http://schemas.openxmlformats.org/officeDocument/2006/relationships/footer" Target="footer2.xml"/><Relationship Id="rId8" Type="http://schemas.openxmlformats.org/officeDocument/2006/relationships/hyperlink" Target="http://online.zakon.kz/Document/?doc_id=32797474" TargetMode="External"/><Relationship Id="rId51" Type="http://schemas.openxmlformats.org/officeDocument/2006/relationships/hyperlink" Target="http://online.zakon.kz/Document/?doc_id=32797474" TargetMode="External"/><Relationship Id="rId72" Type="http://schemas.openxmlformats.org/officeDocument/2006/relationships/image" Target="media/image13.jpeg"/><Relationship Id="rId93" Type="http://schemas.openxmlformats.org/officeDocument/2006/relationships/image" Target="https://prod-prg-document-store-api.azurewebsites.net/api/DocumentObject/GetImageAsync?ImageId=41034143" TargetMode="External"/><Relationship Id="rId98" Type="http://schemas.openxmlformats.org/officeDocument/2006/relationships/image" Target="media/image26.jpeg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0864472" TargetMode="External"/><Relationship Id="rId46" Type="http://schemas.openxmlformats.org/officeDocument/2006/relationships/image" Target="https://prod-prg-document-store-api.azurewebsites.net/api/DocumentObject/GetImageAsync?ImageId=41034124" TargetMode="External"/><Relationship Id="rId67" Type="http://schemas.openxmlformats.org/officeDocument/2006/relationships/image" Target="https://prod-prg-document-store-api.azurewebsites.net/api/DocumentObject/GetImageAsync?ImageId=41034130" TargetMode="External"/><Relationship Id="rId20" Type="http://schemas.openxmlformats.org/officeDocument/2006/relationships/hyperlink" Target="http://online.zakon.kz/Document/?doc_id=32797474" TargetMode="External"/><Relationship Id="rId41" Type="http://schemas.openxmlformats.org/officeDocument/2006/relationships/image" Target="https://prod-prg-document-store-api.azurewebsites.net/api/DocumentObject/GetImageAsync?ImageId=41034122" TargetMode="External"/><Relationship Id="rId62" Type="http://schemas.openxmlformats.org/officeDocument/2006/relationships/hyperlink" Target="http://online.zakon.kz/Document/?doc_id=32797474" TargetMode="External"/><Relationship Id="rId83" Type="http://schemas.openxmlformats.org/officeDocument/2006/relationships/image" Target="https://prod-prg-document-store-api.azurewebsites.net/api/DocumentObject/GetImageAsync?ImageId=41034138" TargetMode="External"/><Relationship Id="rId88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11328</Words>
  <Characters>64575</Characters>
  <Application>Microsoft Office Word</Application>
  <DocSecurity>0</DocSecurity>
  <Lines>538</Lines>
  <Paragraphs>151</Paragraphs>
  <ScaleCrop>false</ScaleCrop>
  <Company/>
  <LinksUpToDate>false</LinksUpToDate>
  <CharactersWithSpaces>75752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4.04-104-2013 «Наружное электрическое освещение городов, поселков и сельских населенных пунктов»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2021-07-16T09:41:00Z</dcterms:created>
  <dcterms:modified xsi:type="dcterms:W3CDTF">2021-07-16T09:41:00Z</dcterms:modified>
</cp:coreProperties>
</file>