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B6C46">
      <w:pPr>
        <w:jc w:val="center"/>
      </w:pPr>
      <w:bookmarkStart w:id="0" w:name="_GoBack"/>
      <w:bookmarkEnd w:id="0"/>
      <w:r>
        <w:rPr>
          <w:rStyle w:val="s1"/>
        </w:rPr>
        <w:t>СН РК 5.03-05-2001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ИНСТРУКЦИЯ</w:t>
      </w:r>
      <w:r>
        <w:br/>
      </w:r>
      <w:r>
        <w:rPr>
          <w:rStyle w:val="s1"/>
        </w:rPr>
        <w:t>ПО ПРОЕКТИРОВАНИЮ МОНОЛИТНЫХ ЗДАНИЙ ИЗ ПЕНОБЕТОНОВ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DESIGN GUIDELINES TO CAST-IN-PLACE FOAM CONCRETE BUILDINGS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hyperlink r:id="rId6" w:anchor="sub_id=100" w:history="1">
        <w:r>
          <w:rPr>
            <w:rStyle w:val="a3"/>
          </w:rPr>
          <w:t>1. Общие положения</w:t>
        </w:r>
      </w:hyperlink>
    </w:p>
    <w:p w:rsidR="00000000" w:rsidRDefault="005B6C46">
      <w:pPr>
        <w:ind w:firstLine="400"/>
        <w:jc w:val="both"/>
      </w:pPr>
      <w:hyperlink r:id="rId7" w:anchor="sub_id=200" w:history="1">
        <w:r>
          <w:rPr>
            <w:rStyle w:val="a3"/>
          </w:rPr>
          <w:t>2. Материалы для бетонных и железобетонных конструкций</w:t>
        </w:r>
      </w:hyperlink>
    </w:p>
    <w:p w:rsidR="00000000" w:rsidRDefault="005B6C46">
      <w:pPr>
        <w:ind w:firstLine="400"/>
        <w:jc w:val="both"/>
      </w:pPr>
      <w:hyperlink r:id="rId8" w:anchor="sub_id=300" w:history="1">
        <w:r>
          <w:rPr>
            <w:rStyle w:val="a3"/>
          </w:rPr>
          <w:t>3. Расчет железобето</w:t>
        </w:r>
        <w:r>
          <w:rPr>
            <w:rStyle w:val="a3"/>
          </w:rPr>
          <w:t>нных элементов по прочности</w:t>
        </w:r>
      </w:hyperlink>
    </w:p>
    <w:p w:rsidR="00000000" w:rsidRDefault="005B6C46">
      <w:pPr>
        <w:ind w:firstLine="400"/>
        <w:jc w:val="both"/>
      </w:pPr>
      <w:hyperlink r:id="rId9" w:anchor="sub_id=400" w:history="1">
        <w:r>
          <w:rPr>
            <w:rStyle w:val="a3"/>
          </w:rPr>
          <w:t>4. Расчет железобетонных элементов по предельным состояниям второй группы</w:t>
        </w:r>
      </w:hyperlink>
    </w:p>
    <w:p w:rsidR="00000000" w:rsidRDefault="005B6C46">
      <w:pPr>
        <w:ind w:firstLine="400"/>
        <w:jc w:val="both"/>
      </w:pPr>
      <w:hyperlink r:id="rId10" w:anchor="sub_id=500" w:history="1">
        <w:r>
          <w:rPr>
            <w:rStyle w:val="a3"/>
          </w:rPr>
          <w:t>5. Конструктивные требования</w:t>
        </w:r>
      </w:hyperlink>
    </w:p>
    <w:p w:rsidR="00000000" w:rsidRDefault="005B6C46">
      <w:pPr>
        <w:ind w:firstLine="400"/>
        <w:jc w:val="both"/>
      </w:pPr>
      <w:hyperlink r:id="rId11" w:anchor="sub_id=600" w:history="1">
        <w:r>
          <w:rPr>
            <w:rStyle w:val="a3"/>
          </w:rPr>
          <w:t>6. Перечень нормативных документов, на которые даны ссылки</w:t>
        </w:r>
      </w:hyperlink>
    </w:p>
    <w:p w:rsidR="00000000" w:rsidRDefault="005B6C46">
      <w:r>
        <w:t> </w:t>
      </w:r>
    </w:p>
    <w:p w:rsidR="00000000" w:rsidRDefault="005B6C46">
      <w:pPr>
        <w:jc w:val="center"/>
      </w:pPr>
      <w:r>
        <w:rPr>
          <w:rStyle w:val="s1"/>
        </w:rPr>
        <w:t>1. Общие положения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>1.1. Настоящая Инструкция распространяется на проектиров</w:t>
      </w:r>
      <w:r>
        <w:rPr>
          <w:rStyle w:val="s0"/>
        </w:rPr>
        <w:t>ание бетонных и железобетонных конструкций из пенобетона для монолитных зданий II и III классов ответственности, возводимых в обычных и сейсмических районах строительства.</w:t>
      </w:r>
    </w:p>
    <w:p w:rsidR="00000000" w:rsidRDefault="005B6C46">
      <w:pPr>
        <w:ind w:firstLine="400"/>
        <w:jc w:val="both"/>
      </w:pPr>
      <w:r>
        <w:rPr>
          <w:rStyle w:val="s0"/>
        </w:rPr>
        <w:t>1.2. Для возведения конструкций должен применяться пенобетон, представляющий собой и</w:t>
      </w:r>
      <w:r>
        <w:rPr>
          <w:rStyle w:val="s0"/>
        </w:rPr>
        <w:t>скусственный камень пористой структуры, получаемый в результате твердения смеси цементно-песчаного раствора со строительной пеной. Для получения пены используются пеноконцентраты органического происхождения, типа neopor германской фирмы «NEOPOR SYSTEM GmbH</w:t>
      </w:r>
      <w:r>
        <w:rPr>
          <w:rStyle w:val="s0"/>
        </w:rPr>
        <w:t>» [</w:t>
      </w:r>
      <w:hyperlink r:id="rId12" w:anchor="sub_id=605" w:history="1">
        <w:r>
          <w:rPr>
            <w:rStyle w:val="a3"/>
          </w:rPr>
          <w:t>5</w:t>
        </w:r>
      </w:hyperlink>
      <w:r>
        <w:rPr>
          <w:rStyle w:val="s0"/>
        </w:rPr>
        <w:t>], edama германской фирмы «EDAMA», ниет отечественного ТОО НПК «НИЕТ».</w:t>
      </w:r>
    </w:p>
    <w:p w:rsidR="00000000" w:rsidRDefault="005B6C46">
      <w:pPr>
        <w:ind w:firstLine="400"/>
        <w:jc w:val="both"/>
      </w:pPr>
      <w:r>
        <w:rPr>
          <w:rStyle w:val="s0"/>
        </w:rPr>
        <w:t>По средней плотности пенобетоны делятся на следующие виды: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- ячеистые пенобетоны, средняя плотность </w:t>
      </w:r>
      <w:r>
        <w:rPr>
          <w:rStyle w:val="s0"/>
        </w:rPr>
        <w:t>которых 1200 кг/м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и ниже;</w:t>
      </w:r>
    </w:p>
    <w:p w:rsidR="00000000" w:rsidRDefault="005B6C46">
      <w:pPr>
        <w:ind w:firstLine="400"/>
        <w:jc w:val="both"/>
      </w:pPr>
      <w:r>
        <w:rPr>
          <w:rStyle w:val="s0"/>
        </w:rPr>
        <w:t>- легкие пенобетоны, средняя плотность которых находится в пределах 1300-1800 кг/м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1.3. Проектирование конструкций для применения в агрессивных средах следует вести с учетом дополнительных требований, предъявляемых </w:t>
      </w:r>
      <w:hyperlink r:id="rId13" w:history="1">
        <w:r>
          <w:rPr>
            <w:rStyle w:val="a3"/>
          </w:rPr>
          <w:t>СНиП 2.03.11-85</w:t>
        </w:r>
      </w:hyperlink>
      <w:r>
        <w:rPr>
          <w:rStyle w:val="s0"/>
        </w:rPr>
        <w:t xml:space="preserve"> [</w:t>
      </w:r>
      <w:hyperlink r:id="rId14" w:anchor="sub_id=609" w:history="1">
        <w:r>
          <w:rPr>
            <w:rStyle w:val="a3"/>
          </w:rPr>
          <w:t>9</w:t>
        </w:r>
      </w:hyperlink>
      <w:r>
        <w:rPr>
          <w:rStyle w:val="s0"/>
        </w:rPr>
        <w:t>].</w:t>
      </w:r>
    </w:p>
    <w:p w:rsidR="00000000" w:rsidRDefault="005B6C46">
      <w:pPr>
        <w:ind w:firstLine="400"/>
        <w:jc w:val="both"/>
      </w:pPr>
      <w:r>
        <w:rPr>
          <w:rStyle w:val="s0"/>
        </w:rPr>
        <w:t>1.4. Из пенобетона могут изготавливаться следующие конструкции:</w:t>
      </w:r>
    </w:p>
    <w:p w:rsidR="00000000" w:rsidRDefault="005B6C46">
      <w:pPr>
        <w:ind w:firstLine="400"/>
        <w:jc w:val="both"/>
      </w:pPr>
      <w:r>
        <w:rPr>
          <w:rStyle w:val="s0"/>
        </w:rPr>
        <w:t>а) однослойные конструкции:</w:t>
      </w:r>
    </w:p>
    <w:p w:rsidR="00000000" w:rsidRDefault="005B6C46">
      <w:pPr>
        <w:ind w:firstLine="400"/>
        <w:jc w:val="both"/>
      </w:pPr>
      <w:r>
        <w:rPr>
          <w:rStyle w:val="s0"/>
        </w:rPr>
        <w:t>- монолит</w:t>
      </w:r>
      <w:r>
        <w:rPr>
          <w:rStyle w:val="s0"/>
        </w:rPr>
        <w:t>ные стены и перекрытия;</w:t>
      </w:r>
    </w:p>
    <w:p w:rsidR="00000000" w:rsidRDefault="005B6C46">
      <w:pPr>
        <w:ind w:firstLine="400"/>
        <w:jc w:val="both"/>
      </w:pPr>
      <w:r>
        <w:rPr>
          <w:rStyle w:val="s0"/>
        </w:rPr>
        <w:t>- сборные многопустотные плиты перекрытия;</w:t>
      </w:r>
    </w:p>
    <w:p w:rsidR="00000000" w:rsidRDefault="005B6C46">
      <w:pPr>
        <w:ind w:firstLine="400"/>
        <w:jc w:val="both"/>
      </w:pPr>
      <w:r>
        <w:rPr>
          <w:rStyle w:val="s0"/>
        </w:rPr>
        <w:t>- перегородки;</w:t>
      </w:r>
    </w:p>
    <w:p w:rsidR="00000000" w:rsidRDefault="005B6C46">
      <w:pPr>
        <w:ind w:firstLine="400"/>
        <w:jc w:val="both"/>
      </w:pPr>
      <w:r>
        <w:rPr>
          <w:rStyle w:val="s0"/>
        </w:rPr>
        <w:t>б) многослойные конструкции:</w:t>
      </w:r>
    </w:p>
    <w:p w:rsidR="00000000" w:rsidRDefault="005B6C46">
      <w:pPr>
        <w:ind w:firstLine="400"/>
        <w:jc w:val="both"/>
      </w:pPr>
      <w:r>
        <w:rPr>
          <w:rStyle w:val="s0"/>
        </w:rPr>
        <w:t>- навесные стеновые панели;</w:t>
      </w:r>
    </w:p>
    <w:p w:rsidR="00000000" w:rsidRDefault="005B6C46">
      <w:pPr>
        <w:ind w:firstLine="400"/>
        <w:jc w:val="both"/>
      </w:pPr>
      <w:r>
        <w:rPr>
          <w:rStyle w:val="s0"/>
        </w:rPr>
        <w:t>- ребристые панели перекрытий.</w:t>
      </w:r>
    </w:p>
    <w:p w:rsidR="00000000" w:rsidRDefault="005B6C46">
      <w:pPr>
        <w:ind w:firstLine="400"/>
        <w:jc w:val="both"/>
      </w:pPr>
      <w:r>
        <w:rPr>
          <w:rStyle w:val="s0"/>
        </w:rPr>
        <w:t>1.5. Однослойные конструкции из пенобетона следует предусматривать в зданиях с относительной влажностью воздуха внутри помещений до 60%, а при наличии пароизоляции на внутренней поверхности стен и перекрытий - для зданий с влажностью воздуха внутри помещен</w:t>
      </w:r>
      <w:r>
        <w:rPr>
          <w:rStyle w:val="s0"/>
        </w:rPr>
        <w:t>ий до 75%.</w:t>
      </w:r>
    </w:p>
    <w:p w:rsidR="00000000" w:rsidRDefault="005B6C46">
      <w:pPr>
        <w:ind w:firstLine="400"/>
        <w:jc w:val="both"/>
      </w:pPr>
      <w:r>
        <w:rPr>
          <w:rStyle w:val="s0"/>
        </w:rPr>
        <w:t>Двухслойные конструкции с внутренним слоем из тяжелого бетона допускаются к применению без специальных мер защиты при влажности воздуха внутри помещений до 75%.</w:t>
      </w:r>
    </w:p>
    <w:p w:rsidR="00000000" w:rsidRDefault="005B6C46">
      <w:pPr>
        <w:ind w:firstLine="400"/>
        <w:jc w:val="both"/>
      </w:pPr>
      <w:r>
        <w:rPr>
          <w:rStyle w:val="s0"/>
        </w:rPr>
        <w:t>1.6. Двухслойные плиты покрытий и перекрытий рекомендуется проектировать с несущим слоем:</w:t>
      </w:r>
    </w:p>
    <w:p w:rsidR="00000000" w:rsidRDefault="005B6C46">
      <w:pPr>
        <w:ind w:firstLine="400"/>
        <w:jc w:val="both"/>
      </w:pPr>
      <w:r>
        <w:rPr>
          <w:rStyle w:val="s0"/>
        </w:rPr>
        <w:t>- из бетона классом по прочности на сжатие не ниже В15 при отсутствии предварительного напряжения;</w:t>
      </w:r>
    </w:p>
    <w:p w:rsidR="00000000" w:rsidRDefault="005B6C46">
      <w:pPr>
        <w:ind w:firstLine="400"/>
        <w:jc w:val="both"/>
      </w:pPr>
      <w:r>
        <w:rPr>
          <w:rStyle w:val="s0"/>
        </w:rPr>
        <w:t>- не ниже В20 - с предварительным напряжением.</w:t>
      </w:r>
    </w:p>
    <w:p w:rsidR="00000000" w:rsidRDefault="005B6C46">
      <w:pPr>
        <w:ind w:firstLine="400"/>
        <w:jc w:val="both"/>
      </w:pPr>
      <w:r>
        <w:rPr>
          <w:rStyle w:val="s0"/>
        </w:rPr>
        <w:lastRenderedPageBreak/>
        <w:t>1.7. При проектирова</w:t>
      </w:r>
      <w:r>
        <w:rPr>
          <w:rStyle w:val="s0"/>
        </w:rPr>
        <w:t xml:space="preserve">нии конструкций из пенобетона плотностью менее Д1800 следует предусматривать защиту арматуры и закладных деталей от коррозии в соответствии с </w:t>
      </w:r>
      <w:hyperlink r:id="rId15" w:history="1">
        <w:r>
          <w:rPr>
            <w:rStyle w:val="a3"/>
          </w:rPr>
          <w:t>СН 277-80</w:t>
        </w:r>
      </w:hyperlink>
      <w:r>
        <w:rPr>
          <w:rStyle w:val="s0"/>
        </w:rPr>
        <w:t xml:space="preserve"> [</w:t>
      </w:r>
      <w:hyperlink r:id="rId16" w:anchor="sub_id=610" w:history="1">
        <w:r>
          <w:rPr>
            <w:rStyle w:val="a3"/>
          </w:rPr>
          <w:t>10</w:t>
        </w:r>
      </w:hyperlink>
      <w:r>
        <w:rPr>
          <w:rStyle w:val="s0"/>
        </w:rPr>
        <w:t>].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1.8. Общие положения по объемно-планировочному решению зданий, возводимых в сейсмических районах, должны соответствовать </w:t>
      </w:r>
      <w:hyperlink r:id="rId17" w:anchor="sub_id=101" w:history="1">
        <w:r>
          <w:rPr>
            <w:rStyle w:val="a3"/>
          </w:rPr>
          <w:t>п.1.1-</w:t>
        </w:r>
        <w:r>
          <w:rPr>
            <w:rStyle w:val="a3"/>
          </w:rPr>
          <w:t>1.10</w:t>
        </w:r>
      </w:hyperlink>
      <w:r>
        <w:rPr>
          <w:rStyle w:val="s0"/>
        </w:rPr>
        <w:t xml:space="preserve"> СН РК 2.03-12-2001 [</w:t>
      </w:r>
      <w:hyperlink r:id="rId18" w:anchor="sub_id=613" w:history="1">
        <w:r>
          <w:rPr>
            <w:rStyle w:val="a3"/>
          </w:rPr>
          <w:t>13</w:t>
        </w:r>
      </w:hyperlink>
      <w:r>
        <w:rPr>
          <w:rStyle w:val="s0"/>
        </w:rPr>
        <w:t>]. Размеры здания или его отсеков, разделенных швами, а также их высота не должны превышать размеров, указанных в таблице 1.</w:t>
      </w:r>
    </w:p>
    <w:p w:rsidR="00000000" w:rsidRDefault="005B6C46">
      <w:pPr>
        <w:autoSpaceDE w:val="0"/>
        <w:autoSpaceDN w:val="0"/>
        <w:ind w:firstLine="397"/>
      </w:pPr>
      <w:r>
        <w:t> </w:t>
      </w:r>
    </w:p>
    <w:p w:rsidR="00000000" w:rsidRDefault="005B6C46">
      <w:pPr>
        <w:jc w:val="right"/>
      </w:pPr>
      <w:r>
        <w:rPr>
          <w:rStyle w:val="s0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763"/>
        <w:gridCol w:w="705"/>
        <w:gridCol w:w="817"/>
        <w:gridCol w:w="873"/>
      </w:tblGrid>
      <w:tr w:rsidR="00000000">
        <w:trPr>
          <w:cantSplit/>
          <w:trHeight w:val="298"/>
        </w:trPr>
        <w:tc>
          <w:tcPr>
            <w:tcW w:w="9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jc w:val="center"/>
            </w:pPr>
            <w:r>
              <w:t>Размеры зда</w:t>
            </w:r>
            <w:r>
              <w:t>ния</w:t>
            </w:r>
          </w:p>
        </w:tc>
        <w:tc>
          <w:tcPr>
            <w:tcW w:w="35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1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</w:rPr>
              <w:t>Расчетная сейсмичность, баллы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/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jc w:val="center"/>
            </w:pPr>
            <w:r>
              <w:t>несейсмические районы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jc w:val="center"/>
            </w:pPr>
            <w:r>
              <w:t>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jc w:val="center"/>
            </w:pPr>
            <w: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jc w:val="center"/>
            </w:pPr>
            <w:r>
              <w:t>9 и 10</w:t>
            </w:r>
          </w:p>
        </w:tc>
      </w:tr>
      <w:tr w:rsidR="00000000"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Длина</w:t>
            </w:r>
          </w:p>
          <w:p w:rsidR="00000000" w:rsidRDefault="005B6C46">
            <w:pPr>
              <w:jc w:val="center"/>
            </w:pPr>
            <w:r>
              <w:t>(ширина)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51 м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51 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41 м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31 м</w:t>
            </w:r>
          </w:p>
        </w:tc>
      </w:tr>
      <w:tr w:rsidR="00000000"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t>Высота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rPr>
                <w:u w:val="single"/>
              </w:rPr>
              <w:t>5 этажей</w:t>
            </w:r>
          </w:p>
          <w:p w:rsidR="00000000" w:rsidRDefault="005B6C46">
            <w:pPr>
              <w:jc w:val="center"/>
            </w:pPr>
            <w:r>
              <w:t>(20 м)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rPr>
                <w:u w:val="single"/>
              </w:rPr>
              <w:t>4 этажа</w:t>
            </w:r>
          </w:p>
          <w:p w:rsidR="00000000" w:rsidRDefault="005B6C46">
            <w:pPr>
              <w:jc w:val="center"/>
            </w:pPr>
            <w:r>
              <w:t>(16 м)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rPr>
                <w:u w:val="single"/>
              </w:rPr>
              <w:t>3 этажа</w:t>
            </w:r>
          </w:p>
          <w:p w:rsidR="00000000" w:rsidRDefault="005B6C46">
            <w:pPr>
              <w:jc w:val="center"/>
            </w:pPr>
            <w:r>
              <w:t>(12 м)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jc w:val="center"/>
            </w:pPr>
            <w:r>
              <w:rPr>
                <w:u w:val="single"/>
              </w:rPr>
              <w:t>2 этажа</w:t>
            </w:r>
          </w:p>
          <w:p w:rsidR="00000000" w:rsidRDefault="005B6C46">
            <w:pPr>
              <w:jc w:val="center"/>
            </w:pPr>
            <w:r>
              <w:t>(8 м)</w:t>
            </w:r>
          </w:p>
        </w:tc>
      </w:tr>
      <w:tr w:rsidR="00000000">
        <w:trPr>
          <w:cantSplit/>
        </w:trPr>
        <w:tc>
          <w:tcPr>
            <w:tcW w:w="453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ind w:firstLine="319"/>
              <w:jc w:val="both"/>
            </w:pPr>
            <w:r>
              <w:rPr>
                <w:b/>
                <w:bCs/>
                <w:i/>
                <w:iCs/>
              </w:rPr>
              <w:t>Примечание.</w:t>
            </w:r>
            <w:r>
              <w:t>Для зданий с внутренними несущими стенами из тяжелого бетона высота зданий может быть увеличена на 2 этажа.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1.9. Основные требования по расчету монолитных зданий, возводимых в сейсмических районах, должны соответствовать требованиям </w:t>
      </w:r>
      <w:hyperlink r:id="rId19" w:anchor="sub_id=301" w:history="1">
        <w:r>
          <w:rPr>
            <w:rStyle w:val="a3"/>
          </w:rPr>
          <w:t>п.3.1-3.9</w:t>
        </w:r>
      </w:hyperlink>
      <w:r>
        <w:rPr>
          <w:rStyle w:val="s0"/>
        </w:rPr>
        <w:t xml:space="preserve"> СН РК 2.03-12-2001.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1.10. Основные расчетные требования к проектированию бетонных и железобетонных конструкций из пенобетона принимаются в соответствии с </w:t>
      </w:r>
      <w:hyperlink r:id="rId20" w:anchor="sub_id=110" w:history="1">
        <w:r>
          <w:rPr>
            <w:rStyle w:val="a3"/>
          </w:rPr>
          <w:t>п.п.1.10-1.13</w:t>
        </w:r>
      </w:hyperlink>
      <w:r>
        <w:rPr>
          <w:rStyle w:val="s0"/>
        </w:rPr>
        <w:t xml:space="preserve"> и </w:t>
      </w:r>
      <w:hyperlink r:id="rId21" w:anchor="sub_id=119" w:history="1">
        <w:r>
          <w:rPr>
            <w:rStyle w:val="a3"/>
          </w:rPr>
          <w:t>1.19-1.22</w:t>
        </w:r>
      </w:hyperlink>
      <w:r>
        <w:rPr>
          <w:rStyle w:val="s0"/>
        </w:rPr>
        <w:t xml:space="preserve"> СНиП 2.03.01-84*, а двухслойных предварительно напряженных конструкций - с учетом</w:t>
      </w:r>
      <w:r>
        <w:rPr>
          <w:rStyle w:val="s0"/>
        </w:rPr>
        <w:t xml:space="preserve"> </w:t>
      </w:r>
      <w:hyperlink r:id="rId22" w:anchor="sub_id=117" w:history="1">
        <w:r>
          <w:rPr>
            <w:rStyle w:val="a3"/>
          </w:rPr>
          <w:t>п.п. 1.17-1.18</w:t>
        </w:r>
      </w:hyperlink>
      <w:r>
        <w:rPr>
          <w:rStyle w:val="s0"/>
        </w:rPr>
        <w:t xml:space="preserve">, </w:t>
      </w:r>
      <w:hyperlink r:id="rId23" w:anchor="sub_id=123" w:history="1">
        <w:r>
          <w:rPr>
            <w:rStyle w:val="a3"/>
          </w:rPr>
          <w:t>1.23-1.30</w:t>
        </w:r>
      </w:hyperlink>
      <w:r>
        <w:rPr>
          <w:rStyle w:val="s0"/>
        </w:rPr>
        <w:t xml:space="preserve"> СНиП 2.03.01-84*.</w:t>
      </w:r>
    </w:p>
    <w:p w:rsidR="00000000" w:rsidRDefault="005B6C46">
      <w:pPr>
        <w:ind w:firstLine="400"/>
        <w:jc w:val="both"/>
      </w:pPr>
      <w:r>
        <w:rPr>
          <w:rStyle w:val="s0"/>
        </w:rPr>
        <w:t>1.11. К трещиностойкости предварительно напряженных</w:t>
      </w:r>
      <w:r>
        <w:rPr>
          <w:rStyle w:val="s0"/>
        </w:rPr>
        <w:t xml:space="preserve"> конструкций из пенобетона предъявляются требования только 3-й категории, т.е. допускается ограниченное по ширине кратковременное и длительное раскрытие трещин. Предельно допустимая ширина раскрытия трещин для таких конструкций принимается: кратковременная</w:t>
      </w:r>
      <w:r>
        <w:rPr>
          <w:rStyle w:val="s0"/>
        </w:rPr>
        <w:t xml:space="preserve"> a</w:t>
      </w:r>
      <w:r>
        <w:rPr>
          <w:rStyle w:val="s0"/>
          <w:vertAlign w:val="subscript"/>
        </w:rPr>
        <w:t>crc</w:t>
      </w:r>
      <w:r>
        <w:rPr>
          <w:rStyle w:val="s0"/>
        </w:rPr>
        <w:t>.1=0,4 мм, длительная acrc.1=0,3 мм.</w:t>
      </w:r>
    </w:p>
    <w:p w:rsidR="00000000" w:rsidRDefault="005B6C46">
      <w:pPr>
        <w:ind w:firstLine="400"/>
        <w:jc w:val="both"/>
      </w:pPr>
      <w:r>
        <w:rPr>
          <w:rStyle w:val="s0"/>
        </w:rPr>
        <w:t>При расчете ширины раскрытия трещин коэффициент надежности үf (постоянной, длительной и кратковременной) по нагрузке принимается равным единице.</w:t>
      </w:r>
    </w:p>
    <w:p w:rsidR="00000000" w:rsidRDefault="005B6C46">
      <w:pPr>
        <w:ind w:firstLine="400"/>
        <w:jc w:val="both"/>
      </w:pPr>
      <w:r>
        <w:rPr>
          <w:rStyle w:val="s0"/>
        </w:rPr>
        <w:t>Для конструкций, в которых арматура покрывается антикоррозионным сост</w:t>
      </w:r>
      <w:r>
        <w:rPr>
          <w:rStyle w:val="s0"/>
        </w:rPr>
        <w:t>авом, допускается ширина раскрытия трещин a</w:t>
      </w:r>
      <w:r>
        <w:rPr>
          <w:rStyle w:val="s0"/>
          <w:vertAlign w:val="subscript"/>
        </w:rPr>
        <w:t>crc</w:t>
      </w:r>
      <w:r>
        <w:rPr>
          <w:rStyle w:val="s0"/>
        </w:rPr>
        <w:t>.2 до 0,5 мм.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1.12. Прогибы элементов железобетонных конструкций из пенобетона не должны превышать предельно допустимых значений, указанных в </w:t>
      </w:r>
      <w:hyperlink r:id="rId24" w:anchor="sub_id=120" w:history="1">
        <w:r>
          <w:rPr>
            <w:rStyle w:val="a3"/>
          </w:rPr>
          <w:t>п.1.20</w:t>
        </w:r>
      </w:hyperlink>
      <w:r>
        <w:rPr>
          <w:rStyle w:val="s0"/>
        </w:rPr>
        <w:t xml:space="preserve"> СНиП 2.03.01-84* и </w:t>
      </w:r>
      <w:hyperlink r:id="rId25" w:history="1">
        <w:r>
          <w:rPr>
            <w:rStyle w:val="a3"/>
          </w:rPr>
          <w:t>СНиП 2.01.07-85</w:t>
        </w:r>
      </w:hyperlink>
      <w:r>
        <w:rPr>
          <w:rStyle w:val="s0"/>
        </w:rPr>
        <w:t>* [</w:t>
      </w:r>
      <w:hyperlink r:id="rId26" w:anchor="sub_id=611" w:history="1">
        <w:r>
          <w:rPr>
            <w:rStyle w:val="a3"/>
          </w:rPr>
          <w:t>11</w:t>
        </w:r>
      </w:hyperlink>
      <w:r>
        <w:rPr>
          <w:rStyle w:val="s0"/>
        </w:rPr>
        <w:t>].</w:t>
      </w:r>
    </w:p>
    <w:p w:rsidR="00000000" w:rsidRDefault="005B6C46">
      <w:pPr>
        <w:ind w:firstLine="400"/>
        <w:jc w:val="both"/>
      </w:pPr>
      <w:r>
        <w:rPr>
          <w:rStyle w:val="s0"/>
        </w:rPr>
        <w:t>1.13. При статических и теплотехнических расчетах</w:t>
      </w:r>
      <w:r>
        <w:rPr>
          <w:rStyle w:val="s0"/>
        </w:rPr>
        <w:t xml:space="preserve"> конструкций из пенобетона следует учитывать установившуюся влажность бетона, принимаемую по табл. 2.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2</w:t>
      </w:r>
    </w:p>
    <w:tbl>
      <w:tblPr>
        <w:tblW w:w="45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3"/>
        <w:gridCol w:w="1826"/>
        <w:gridCol w:w="2061"/>
      </w:tblGrid>
      <w:tr w:rsidR="00000000">
        <w:trPr>
          <w:cantSplit/>
        </w:trPr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 xml:space="preserve">Расчетная средняя установившаяся влажность 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t xml:space="preserve">пенобетона, 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t>% по массе</w:t>
            </w:r>
          </w:p>
        </w:tc>
      </w:tr>
      <w:tr w:rsidR="00000000">
        <w:trPr>
          <w:cantSplit/>
        </w:trPr>
        <w:tc>
          <w:tcPr>
            <w:tcW w:w="170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для стен и междуэтажных перекрытий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для покрытий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/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вентилируемых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невентилируемых</w:t>
            </w:r>
          </w:p>
        </w:tc>
      </w:tr>
      <w:tr w:rsidR="00000000"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15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right"/>
      </w:pPr>
      <w:r>
        <w:lastRenderedPageBreak/>
        <w:t> 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jc w:val="center"/>
      </w:pPr>
      <w:r>
        <w:rPr>
          <w:rStyle w:val="s1"/>
        </w:rPr>
        <w:t>2. МАТЕРИАЛЫ ДЛЯ БЕТОННЫХ И ЖЕЛЕЗОБЕТОННЫХ КОНСТРУКЦИЙ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2.1. В качестве вяжущих для изготовления пенобетонов используют портландцемент или шлакопортландцемент марок 400 и 500, удовлетворяющие требованиям </w:t>
      </w:r>
      <w:hyperlink r:id="rId27" w:history="1">
        <w:r>
          <w:rPr>
            <w:rStyle w:val="a3"/>
          </w:rPr>
          <w:t>ГОСТ 10178-85</w:t>
        </w:r>
      </w:hyperlink>
      <w:r>
        <w:rPr>
          <w:rStyle w:val="s0"/>
        </w:rPr>
        <w:t>* [</w:t>
      </w:r>
      <w:hyperlink r:id="rId28" w:anchor="sub_id=617" w:history="1">
        <w:r>
          <w:rPr>
            <w:rStyle w:val="a3"/>
          </w:rPr>
          <w:t>17</w:t>
        </w:r>
      </w:hyperlink>
      <w:r>
        <w:rPr>
          <w:rStyle w:val="s0"/>
        </w:rPr>
        <w:t>] либо другие виды цементов после подтверждения их эффективности.</w:t>
      </w:r>
    </w:p>
    <w:p w:rsidR="00000000" w:rsidRDefault="005B6C46">
      <w:pPr>
        <w:ind w:firstLine="400"/>
        <w:jc w:val="both"/>
      </w:pPr>
      <w:r>
        <w:rPr>
          <w:rStyle w:val="s0"/>
        </w:rPr>
        <w:t>2.2. В качестве заполнител</w:t>
      </w:r>
      <w:r>
        <w:rPr>
          <w:rStyle w:val="s0"/>
        </w:rPr>
        <w:t xml:space="preserve">я пенобетонов применяется кварцевый песок, отвечающий требованиям </w:t>
      </w:r>
      <w:hyperlink r:id="rId29" w:history="1">
        <w:r>
          <w:rPr>
            <w:rStyle w:val="a3"/>
          </w:rPr>
          <w:t>ГОСТ 8736-93*</w:t>
        </w:r>
      </w:hyperlink>
      <w:r>
        <w:rPr>
          <w:rStyle w:val="s0"/>
        </w:rPr>
        <w:t xml:space="preserve"> [</w:t>
      </w:r>
      <w:hyperlink r:id="rId30" w:anchor="sub_id=616" w:history="1">
        <w:r>
          <w:rPr>
            <w:rStyle w:val="a3"/>
          </w:rPr>
          <w:t>16</w:t>
        </w:r>
      </w:hyperlink>
      <w:r>
        <w:rPr>
          <w:rStyle w:val="s0"/>
        </w:rPr>
        <w:t>].</w:t>
      </w:r>
    </w:p>
    <w:p w:rsidR="00000000" w:rsidRDefault="005B6C46">
      <w:pPr>
        <w:ind w:firstLine="400"/>
        <w:jc w:val="both"/>
      </w:pPr>
      <w:r>
        <w:rPr>
          <w:rStyle w:val="s0"/>
        </w:rPr>
        <w:t>Модуль крупности песка н</w:t>
      </w:r>
      <w:r>
        <w:rPr>
          <w:rStyle w:val="s0"/>
        </w:rPr>
        <w:t>е должен превышать для пенобетонов плотностью: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160"/>
      </w:tblGrid>
      <w:tr w:rsidR="00000000"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1000-1800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- М</w:t>
            </w:r>
            <w:r>
              <w:rPr>
                <w:vertAlign w:val="subscript"/>
              </w:rPr>
              <w:t>кр</w:t>
            </w:r>
            <w:r>
              <w:t xml:space="preserve"> = 2,5,</w:t>
            </w:r>
          </w:p>
        </w:tc>
      </w:tr>
      <w:tr w:rsidR="00000000"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700-900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- М</w:t>
            </w:r>
            <w:r>
              <w:rPr>
                <w:vertAlign w:val="subscript"/>
              </w:rPr>
              <w:t>кр</w:t>
            </w:r>
            <w:r>
              <w:t xml:space="preserve"> = 2,0,</w:t>
            </w:r>
          </w:p>
        </w:tc>
      </w:tr>
      <w:tr w:rsidR="00000000"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500-600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- М</w:t>
            </w:r>
            <w:r>
              <w:rPr>
                <w:vertAlign w:val="subscript"/>
              </w:rPr>
              <w:t>кр</w:t>
            </w:r>
            <w:r>
              <w:t xml:space="preserve"> = 1,5.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>2.3. При проектировании бетонных и железобетонных конструкций из пенобетона устанавливаются следующие основные показатели:</w:t>
      </w:r>
    </w:p>
    <w:p w:rsidR="00000000" w:rsidRDefault="005B6C46">
      <w:pPr>
        <w:ind w:firstLine="400"/>
        <w:jc w:val="both"/>
      </w:pPr>
      <w:r>
        <w:rPr>
          <w:rStyle w:val="s0"/>
        </w:rPr>
        <w:t>- класс пенобетона по прочности на сжатие «B» (</w:t>
      </w:r>
      <w:hyperlink r:id="rId31" w:anchor="sub_id=3" w:history="1">
        <w:r>
          <w:rPr>
            <w:rStyle w:val="a3"/>
          </w:rPr>
          <w:t>табл. 3</w:t>
        </w:r>
      </w:hyperlink>
      <w:r>
        <w:rPr>
          <w:rStyle w:val="s0"/>
        </w:rPr>
        <w:t>);</w:t>
      </w:r>
    </w:p>
    <w:p w:rsidR="00000000" w:rsidRDefault="005B6C46">
      <w:pPr>
        <w:ind w:firstLine="400"/>
        <w:jc w:val="both"/>
      </w:pPr>
      <w:r>
        <w:rPr>
          <w:rStyle w:val="s0"/>
        </w:rPr>
        <w:t>- марка пенобетона по морозостойкости «F» (F15, F25, F35, F50, F75, F100, F150, F200);</w:t>
      </w:r>
    </w:p>
    <w:p w:rsidR="00000000" w:rsidRDefault="005B6C46">
      <w:pPr>
        <w:ind w:firstLine="400"/>
        <w:jc w:val="both"/>
      </w:pPr>
      <w:r>
        <w:rPr>
          <w:rStyle w:val="s0"/>
        </w:rPr>
        <w:t>- марка пенобетона по средней плотности «D» (табл. 3).</w:t>
      </w:r>
    </w:p>
    <w:p w:rsidR="00000000" w:rsidRDefault="005B6C46">
      <w:pPr>
        <w:ind w:firstLine="400"/>
        <w:jc w:val="both"/>
      </w:pPr>
      <w:r>
        <w:rPr>
          <w:rStyle w:val="s0"/>
        </w:rPr>
        <w:t>Классы пенобетона по прочности на сжатие соответствуют значениям гарантированной прочности бетона, МПа, контрол</w:t>
      </w:r>
      <w:r>
        <w:rPr>
          <w:rStyle w:val="s0"/>
        </w:rPr>
        <w:t>ируемой согласно государственных стандартов в установленные сроки на базовых образцах кубов с размерами граней 150 мм с обеспеченностью 0,95 при средней установившейся влажности 10±2% (по массе).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2.4. Класс пенобетона по прочности на сжатие для монолитных </w:t>
      </w:r>
      <w:r>
        <w:rPr>
          <w:rStyle w:val="s0"/>
        </w:rPr>
        <w:t xml:space="preserve">стен должен приниматься не ниже указанного в </w:t>
      </w:r>
      <w:hyperlink r:id="rId32" w:anchor="sub_id=4" w:history="1">
        <w:r>
          <w:rPr>
            <w:rStyle w:val="a3"/>
          </w:rPr>
          <w:t>таблице 4.</w:t>
        </w:r>
      </w:hyperlink>
    </w:p>
    <w:p w:rsidR="00000000" w:rsidRDefault="005B6C46">
      <w:pPr>
        <w:ind w:firstLine="400"/>
        <w:jc w:val="both"/>
      </w:pPr>
      <w:r>
        <w:rPr>
          <w:rStyle w:val="s0"/>
        </w:rPr>
        <w:t>Для железобетонных конструкций не допускается применять пенобетон класса по прочности на сжатие ниже В7,5. Для напрягаемо</w:t>
      </w:r>
      <w:r>
        <w:rPr>
          <w:rStyle w:val="s0"/>
        </w:rPr>
        <w:t>го слоя двухслойных предварительно-напряженных железобетонных конструкций допускается применять пенобетон класса по прочности на сжатие не ниже В20.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2.5. Марка пенобетона по морозостойкости принимается по </w:t>
      </w:r>
      <w:hyperlink r:id="rId33" w:anchor="sub_id=9" w:history="1">
        <w:r>
          <w:rPr>
            <w:rStyle w:val="a3"/>
          </w:rPr>
          <w:t>таблице 9</w:t>
        </w:r>
      </w:hyperlink>
      <w:r>
        <w:rPr>
          <w:rStyle w:val="s0"/>
        </w:rPr>
        <w:t xml:space="preserve"> СНиП 2.03.01-84*.</w:t>
      </w:r>
    </w:p>
    <w:p w:rsidR="00000000" w:rsidRDefault="005B6C46">
      <w:pPr>
        <w:ind w:firstLine="400"/>
        <w:jc w:val="both"/>
      </w:pPr>
      <w:r>
        <w:rPr>
          <w:rStyle w:val="s0"/>
        </w:rPr>
        <w:t>2.6. Для замоноличивания стыков и швов сборных конструкций из пенобетона следует применять строительные растворы проектной марки по прочности на сжатие не менее М75 и марки по плотности не ниже D1500.</w:t>
      </w:r>
    </w:p>
    <w:p w:rsidR="00000000" w:rsidRDefault="005B6C46">
      <w:pPr>
        <w:autoSpaceDE w:val="0"/>
        <w:autoSpaceDN w:val="0"/>
        <w:ind w:firstLine="426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736"/>
        <w:gridCol w:w="764"/>
        <w:gridCol w:w="763"/>
        <w:gridCol w:w="736"/>
        <w:gridCol w:w="764"/>
        <w:gridCol w:w="754"/>
        <w:gridCol w:w="797"/>
        <w:gridCol w:w="754"/>
        <w:gridCol w:w="755"/>
        <w:gridCol w:w="755"/>
      </w:tblGrid>
      <w:tr w:rsidR="00000000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Марка по средней плотности D, кг/м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7796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Класс пенобетона по прочности на сжатие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В25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D800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D900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D1200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D1400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D1600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ind w:left="319"/>
              <w:jc w:val="left"/>
            </w:pPr>
            <w:r>
              <w:rPr>
                <w:rFonts w:ascii="Times New Roman" w:hAnsi="Times New Roman"/>
              </w:rPr>
              <w:t>D1800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+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lastRenderedPageBreak/>
        <w:t>Таблица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1870"/>
        <w:gridCol w:w="1865"/>
        <w:gridCol w:w="1138"/>
        <w:gridCol w:w="1104"/>
        <w:gridCol w:w="1104"/>
      </w:tblGrid>
      <w:tr w:rsidR="00000000">
        <w:trPr>
          <w:cantSplit/>
        </w:trPr>
        <w:tc>
          <w:tcPr>
            <w:tcW w:w="23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стены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Этажность здания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93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бетона</w:t>
            </w:r>
          </w:p>
        </w:tc>
        <w:tc>
          <w:tcPr>
            <w:tcW w:w="34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Класс бетона по прочности на сжатие при расчетной сейсмичности в баллах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7 и ниже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9 и 10</w:t>
            </w:r>
          </w:p>
        </w:tc>
      </w:tr>
      <w:tr w:rsidR="00000000">
        <w:trPr>
          <w:cantSplit/>
        </w:trPr>
        <w:tc>
          <w:tcPr>
            <w:tcW w:w="232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Внутренние несущие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1-2 этажа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тяжелый 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3-5 этажа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тяжелый 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 этажей и более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тяжелый 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В12,5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В12,5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В12,5</w:t>
            </w:r>
          </w:p>
        </w:tc>
      </w:tr>
      <w:tr w:rsidR="00000000">
        <w:tc>
          <w:tcPr>
            <w:tcW w:w="23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Наружные несущие однослойные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1-2 этажа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более 2 этажей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В3,5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B7,5</w:t>
            </w:r>
          </w:p>
        </w:tc>
      </w:tr>
      <w:tr w:rsidR="00000000">
        <w:trPr>
          <w:cantSplit/>
          <w:trHeight w:val="366"/>
        </w:trPr>
        <w:tc>
          <w:tcPr>
            <w:tcW w:w="232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Несущий слой многослойных ж/б стен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1-2 этажа</w:t>
            </w:r>
          </w:p>
        </w:tc>
        <w:tc>
          <w:tcPr>
            <w:tcW w:w="193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тяжелый и 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пенобетон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</w:tr>
      <w:tr w:rsidR="00000000">
        <w:trPr>
          <w:cantSplit/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3-5 этажа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В7,5</w:t>
            </w:r>
          </w:p>
        </w:tc>
      </w:tr>
      <w:tr w:rsidR="00000000">
        <w:trPr>
          <w:cantSplit/>
          <w:trHeight w:val="3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 этажей и более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72"/>
            </w:pPr>
            <w:r>
              <w:rPr>
                <w:rFonts w:ascii="Times New Roman" w:hAnsi="Times New Roman"/>
              </w:rPr>
              <w:t>В15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2.7.</w:t>
      </w:r>
      <w:r>
        <w:t xml:space="preserve"> Нормативные сопротивления пенобетона R</w:t>
      </w:r>
      <w:r>
        <w:rPr>
          <w:vertAlign w:val="subscript"/>
        </w:rPr>
        <w:t>bn</w:t>
      </w:r>
      <w:r>
        <w:t>, R</w:t>
      </w:r>
      <w:r>
        <w:rPr>
          <w:vertAlign w:val="subscript"/>
        </w:rPr>
        <w:t>btn</w:t>
      </w:r>
      <w:r>
        <w:t xml:space="preserve"> </w:t>
      </w:r>
      <w:r>
        <w:t>и расчетные сопротивления для предельных состояний второй группы R</w:t>
      </w:r>
      <w:r>
        <w:rPr>
          <w:vertAlign w:val="subscript"/>
        </w:rPr>
        <w:t>b,ser</w:t>
      </w:r>
      <w:r>
        <w:t xml:space="preserve"> и R</w:t>
      </w:r>
      <w:r>
        <w:rPr>
          <w:vertAlign w:val="subscript"/>
        </w:rPr>
        <w:t>bt,ser</w:t>
      </w:r>
      <w:r>
        <w:t xml:space="preserve"> принимаются в зависимости от класса пенобетона по прочности на сжатие по </w:t>
      </w:r>
      <w:hyperlink r:id="rId34" w:anchor="sub_id=5" w:history="1">
        <w:r>
          <w:rPr>
            <w:rStyle w:val="a3"/>
          </w:rPr>
          <w:t>таблице 5.</w:t>
        </w:r>
      </w:hyperlink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2.8.</w:t>
      </w:r>
      <w:r>
        <w:t xml:space="preserve"> Расчет</w:t>
      </w:r>
      <w:r>
        <w:t xml:space="preserve">ные сопротивления пенобетона для предельных состояний первой и второй группы определяются путем деления нормативных сопротивлений на соответствующие коэффициенты надежности по пенобетону при сжатии 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или при растяжении </w:t>
      </w:r>
      <w:r>
        <w:rPr>
          <w:rFonts w:ascii="Symbol" w:hAnsi="Symbol"/>
        </w:rPr>
        <w:t></w:t>
      </w:r>
      <w:r>
        <w:rPr>
          <w:vertAlign w:val="subscript"/>
        </w:rPr>
        <w:t>bt</w:t>
      </w:r>
      <w:r>
        <w:t xml:space="preserve">, принимаемые по </w:t>
      </w:r>
      <w:hyperlink r:id="rId35" w:anchor="sub_id=6" w:history="1">
        <w:r>
          <w:rPr>
            <w:rStyle w:val="a3"/>
          </w:rPr>
          <w:t>таблице 6</w:t>
        </w:r>
      </w:hyperlink>
      <w:r>
        <w:t>.</w:t>
      </w:r>
    </w:p>
    <w:p w:rsidR="00000000" w:rsidRDefault="005B6C46">
      <w:pPr>
        <w:autoSpaceDE w:val="0"/>
        <w:autoSpaceDN w:val="0"/>
        <w:ind w:firstLine="397"/>
        <w:jc w:val="both"/>
      </w:pPr>
      <w:r>
        <w:t>Расчетные сопротивления пенобетона R</w:t>
      </w:r>
      <w:r>
        <w:rPr>
          <w:vertAlign w:val="subscript"/>
        </w:rPr>
        <w:t>b</w:t>
      </w:r>
      <w:r>
        <w:t>, R</w:t>
      </w:r>
      <w:r>
        <w:rPr>
          <w:vertAlign w:val="subscript"/>
        </w:rPr>
        <w:t>bt</w:t>
      </w:r>
      <w:r>
        <w:t xml:space="preserve"> для предельных состояний первой группы приведены в табл. 7.</w:t>
      </w:r>
    </w:p>
    <w:p w:rsidR="00000000" w:rsidRDefault="005B6C46">
      <w:pPr>
        <w:autoSpaceDE w:val="0"/>
        <w:autoSpaceDN w:val="0"/>
        <w:ind w:firstLine="397"/>
        <w:jc w:val="both"/>
      </w:pPr>
      <w:r>
        <w:t>Расчетные сопротивления пенобетона для предельных состояний второй группы R</w:t>
      </w:r>
      <w:r>
        <w:rPr>
          <w:vertAlign w:val="subscript"/>
        </w:rPr>
        <w:t>b,s</w:t>
      </w:r>
      <w:r>
        <w:rPr>
          <w:vertAlign w:val="subscript"/>
        </w:rPr>
        <w:t>er</w:t>
      </w:r>
      <w:r>
        <w:t xml:space="preserve"> и R</w:t>
      </w:r>
      <w:r>
        <w:rPr>
          <w:vertAlign w:val="subscript"/>
        </w:rPr>
        <w:t>bt,ser</w:t>
      </w:r>
      <w:r>
        <w:t xml:space="preserve"> вводят в расчет с коэффициентами условий работы </w:t>
      </w:r>
      <w:r>
        <w:rPr>
          <w:rFonts w:ascii="Symbol" w:hAnsi="Symbol"/>
        </w:rPr>
        <w:t></w:t>
      </w:r>
      <w:r>
        <w:rPr>
          <w:vertAlign w:val="subscript"/>
        </w:rPr>
        <w:t>bc</w:t>
      </w:r>
      <w:r>
        <w:t xml:space="preserve"> и </w:t>
      </w:r>
      <w:r>
        <w:rPr>
          <w:rFonts w:ascii="Symbol" w:hAnsi="Symbol"/>
        </w:rPr>
        <w:t></w:t>
      </w:r>
      <w:r>
        <w:rPr>
          <w:vertAlign w:val="subscript"/>
        </w:rPr>
        <w:t>btn</w:t>
      </w:r>
      <w:r>
        <w:t>, равными единице.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2.9.</w:t>
      </w:r>
      <w:r>
        <w:t xml:space="preserve"> Расчетные сопротивления пенобетона для предельных состояний первой группы R</w:t>
      </w:r>
      <w:r>
        <w:rPr>
          <w:vertAlign w:val="subscript"/>
        </w:rPr>
        <w:t>b</w:t>
      </w:r>
      <w:r>
        <w:t xml:space="preserve"> и R</w:t>
      </w:r>
      <w:r>
        <w:rPr>
          <w:vertAlign w:val="subscript"/>
        </w:rPr>
        <w:t>bt</w:t>
      </w:r>
      <w:r>
        <w:t xml:space="preserve"> , приведенные в </w:t>
      </w:r>
      <w:hyperlink r:id="rId36" w:anchor="sub_id=7" w:history="1">
        <w:r>
          <w:rPr>
            <w:rStyle w:val="a3"/>
          </w:rPr>
          <w:t>табл. 7</w:t>
        </w:r>
      </w:hyperlink>
      <w:r>
        <w:t xml:space="preserve">, снижаются (или повышаются) путем умножения на коэффициенты условий работы бетона </w:t>
      </w:r>
      <w:r>
        <w:rPr>
          <w:rFonts w:ascii="Symbol" w:hAnsi="Symbol"/>
        </w:rPr>
        <w:t></w:t>
      </w:r>
      <w:r>
        <w:rPr>
          <w:vertAlign w:val="subscript"/>
        </w:rPr>
        <w:t>bi</w:t>
      </w:r>
      <w:r>
        <w:t xml:space="preserve">, учитывающие длительность действия нагрузки, условия и стадии работы конструкций и т.п. согласно </w:t>
      </w:r>
      <w:hyperlink r:id="rId37" w:anchor="sub_id=8" w:history="1">
        <w:r>
          <w:rPr>
            <w:rStyle w:val="a3"/>
          </w:rPr>
          <w:t>табл.8</w:t>
        </w:r>
      </w:hyperlink>
      <w:r>
        <w:t>.</w:t>
      </w:r>
    </w:p>
    <w:p w:rsidR="00000000" w:rsidRDefault="005B6C46">
      <w:pPr>
        <w:autoSpaceDE w:val="0"/>
        <w:autoSpaceDN w:val="0"/>
        <w:ind w:firstLine="397"/>
        <w:jc w:val="both"/>
      </w:pPr>
      <w:r>
        <w:t>Коэффициенты условий работы пенобетона вводятся независимо друг от друга, но их произведение принимается не менее 0,45.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2.10.</w:t>
      </w:r>
      <w:r>
        <w:t xml:space="preserve"> Значения начального модуля упругости пенобетона при сжатии и растяжении Е</w:t>
      </w:r>
      <w:r>
        <w:rPr>
          <w:vertAlign w:val="subscript"/>
        </w:rPr>
        <w:t>b</w:t>
      </w:r>
      <w:r>
        <w:t xml:space="preserve"> </w:t>
      </w:r>
      <w:r>
        <w:t>принимаются по таблице 9.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2.11.</w:t>
      </w:r>
      <w:r>
        <w:t xml:space="preserve"> Коэффициент линейной температурной деформации пенобетона </w:t>
      </w:r>
      <w:r>
        <w:rPr>
          <w:rFonts w:ascii="Symbol" w:hAnsi="Symbol"/>
        </w:rPr>
        <w:t></w:t>
      </w:r>
      <w:r>
        <w:rPr>
          <w:vertAlign w:val="subscript"/>
        </w:rPr>
        <w:t>bt</w:t>
      </w:r>
      <w:r>
        <w:t xml:space="preserve"> при изменении температуры от минус 40°С до плюс 50°С принимается равным </w:t>
      </w:r>
      <w:r>
        <w:rPr>
          <w:rFonts w:ascii="Symbol" w:hAnsi="Symbol"/>
        </w:rPr>
        <w:t></w:t>
      </w:r>
      <w:r>
        <w:rPr>
          <w:vertAlign w:val="subscript"/>
        </w:rPr>
        <w:t>bt</w:t>
      </w:r>
      <w:r>
        <w:t xml:space="preserve"> = 8 </w:t>
      </w:r>
      <w:r>
        <w:rPr>
          <w:rFonts w:ascii="Symbol" w:hAnsi="Symbol"/>
        </w:rPr>
        <w:t></w:t>
      </w:r>
      <w:r>
        <w:t>10</w:t>
      </w:r>
      <w:r>
        <w:rPr>
          <w:vertAlign w:val="superscript"/>
        </w:rPr>
        <w:t>-6</w:t>
      </w:r>
      <w:r>
        <w:t>С</w:t>
      </w:r>
      <w:r>
        <w:rPr>
          <w:vertAlign w:val="superscript"/>
        </w:rPr>
        <w:t>-1</w:t>
      </w:r>
      <w:r>
        <w:t xml:space="preserve"> .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2.12. Начальный</w:t>
      </w:r>
      <w:r>
        <w:t xml:space="preserve"> коэффициент поперечной деформации (коэффициент Пуассона)</w:t>
      </w:r>
      <w:r>
        <w:t xml:space="preserve"> </w:t>
      </w:r>
      <w:r>
        <w:rPr>
          <w:rFonts w:ascii="Symbol" w:hAnsi="Symbol"/>
        </w:rPr>
        <w:t></w:t>
      </w:r>
      <w:r>
        <w:t xml:space="preserve"> пенобетона принимается равным 0,2, а модуль сдвига G - равным 0,4 от соответствующих значений Е</w:t>
      </w:r>
      <w:r>
        <w:rPr>
          <w:vertAlign w:val="subscript"/>
        </w:rPr>
        <w:t>b</w:t>
      </w:r>
      <w:r>
        <w:t xml:space="preserve"> , указанных в табл. 9.</w:t>
      </w:r>
    </w:p>
    <w:p w:rsidR="00000000" w:rsidRDefault="005B6C46">
      <w:pPr>
        <w:autoSpaceDE w:val="0"/>
        <w:autoSpaceDN w:val="0"/>
        <w:ind w:firstLine="400"/>
        <w:jc w:val="both"/>
      </w:pPr>
      <w:r>
        <w:rPr>
          <w:rStyle w:val="s0"/>
        </w:rPr>
        <w:t>2.13. Для армирования</w:t>
      </w:r>
      <w:r>
        <w:t xml:space="preserve"> железобетонных конструкций из пенобетона должна применяться арматура, отвечающая требованиям соответствующих ст</w:t>
      </w:r>
      <w:r>
        <w:t>андартов либо утвержденных в установленном порядке технических норм и принадлежащая к одному из следующих видов:</w:t>
      </w:r>
    </w:p>
    <w:p w:rsidR="00000000" w:rsidRDefault="005B6C46">
      <w:pPr>
        <w:autoSpaceDE w:val="0"/>
        <w:autoSpaceDN w:val="0"/>
        <w:ind w:firstLine="397"/>
        <w:jc w:val="both"/>
      </w:pPr>
      <w:r>
        <w:t>1. Стержневая арматурная сталь:</w:t>
      </w:r>
    </w:p>
    <w:p w:rsidR="00000000" w:rsidRDefault="005B6C46">
      <w:pPr>
        <w:autoSpaceDE w:val="0"/>
        <w:autoSpaceDN w:val="0"/>
        <w:ind w:firstLine="397"/>
        <w:jc w:val="both"/>
      </w:pPr>
      <w:r>
        <w:t>а) горячекатанная гладкая класса А-I;</w:t>
      </w:r>
    </w:p>
    <w:p w:rsidR="00000000" w:rsidRDefault="005B6C46">
      <w:pPr>
        <w:pStyle w:val="33"/>
      </w:pPr>
      <w:r>
        <w:rPr>
          <w:rFonts w:ascii="Times New Roman" w:hAnsi="Times New Roman"/>
          <w:sz w:val="24"/>
          <w:szCs w:val="24"/>
        </w:rPr>
        <w:t>б) горячекатанная периодического профиля классов А-II, Ас-II, А-III, А-IV</w:t>
      </w:r>
      <w:r>
        <w:rPr>
          <w:rFonts w:ascii="Times New Roman" w:hAnsi="Times New Roman"/>
          <w:sz w:val="24"/>
          <w:szCs w:val="24"/>
        </w:rPr>
        <w:t>;</w:t>
      </w:r>
    </w:p>
    <w:p w:rsidR="00000000" w:rsidRDefault="005B6C46">
      <w:pPr>
        <w:autoSpaceDE w:val="0"/>
        <w:autoSpaceDN w:val="0"/>
        <w:ind w:firstLine="397"/>
        <w:jc w:val="both"/>
      </w:pPr>
      <w:r>
        <w:t>в) термохимически и термически упрочненная периодического профиля классов Ат-IIIс, Aт-IV</w:t>
      </w:r>
      <w:r>
        <w:rPr>
          <w:caps/>
        </w:rPr>
        <w:t xml:space="preserve">, </w:t>
      </w:r>
      <w:r>
        <w:t>Ат-IVc и АТ- IVк</w:t>
      </w:r>
      <w:r>
        <w:rPr>
          <w:caps/>
        </w:rPr>
        <w:t>.</w:t>
      </w:r>
    </w:p>
    <w:p w:rsidR="00000000" w:rsidRDefault="005B6C46">
      <w:pPr>
        <w:autoSpaceDE w:val="0"/>
        <w:autoSpaceDN w:val="0"/>
        <w:ind w:firstLine="397"/>
        <w:jc w:val="both"/>
      </w:pPr>
      <w:r>
        <w:lastRenderedPageBreak/>
        <w:t>2. Проволочная арматурная сталь:</w:t>
      </w:r>
    </w:p>
    <w:p w:rsidR="00000000" w:rsidRDefault="005B6C46">
      <w:pPr>
        <w:autoSpaceDE w:val="0"/>
        <w:autoSpaceDN w:val="0"/>
        <w:ind w:firstLine="397"/>
        <w:jc w:val="both"/>
      </w:pPr>
      <w:r>
        <w:rPr>
          <w:spacing w:val="-4"/>
        </w:rPr>
        <w:t>- обыкновенная периодического профиля класса Вр-I.</w:t>
      </w:r>
    </w:p>
    <w:p w:rsidR="00000000" w:rsidRDefault="005B6C46">
      <w:pPr>
        <w:pStyle w:val="33"/>
      </w:pPr>
      <w:r>
        <w:rPr>
          <w:rFonts w:ascii="Times New Roman" w:hAnsi="Times New Roman"/>
          <w:sz w:val="24"/>
          <w:szCs w:val="24"/>
        </w:rPr>
        <w:t>Допускается применять стержневую упрочненную вытяжкой арматуру</w:t>
      </w:r>
      <w:r>
        <w:rPr>
          <w:rFonts w:ascii="Times New Roman" w:hAnsi="Times New Roman"/>
          <w:sz w:val="24"/>
          <w:szCs w:val="24"/>
        </w:rPr>
        <w:t xml:space="preserve"> класса А-IIIв, а также в качестве конструктивной арматуры сварных каркасов и сеток - обыкновенную гладкую проволоку класса В-I.</w:t>
      </w:r>
    </w:p>
    <w:p w:rsidR="00000000" w:rsidRDefault="005B6C46">
      <w:pPr>
        <w:autoSpaceDE w:val="0"/>
        <w:autoSpaceDN w:val="0"/>
        <w:ind w:firstLine="397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5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1286"/>
        <w:gridCol w:w="608"/>
        <w:gridCol w:w="626"/>
        <w:gridCol w:w="626"/>
        <w:gridCol w:w="608"/>
        <w:gridCol w:w="626"/>
        <w:gridCol w:w="608"/>
        <w:gridCol w:w="695"/>
        <w:gridCol w:w="608"/>
        <w:gridCol w:w="599"/>
        <w:gridCol w:w="608"/>
      </w:tblGrid>
      <w:tr w:rsidR="00000000">
        <w:trPr>
          <w:cantSplit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сопротивления</w:t>
            </w: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пенобетона</w:t>
            </w:r>
          </w:p>
        </w:tc>
        <w:tc>
          <w:tcPr>
            <w:tcW w:w="666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Нормативные сопротивления пенобетона R</w:t>
            </w:r>
            <w:r>
              <w:rPr>
                <w:rFonts w:ascii="Times New Roman" w:hAnsi="Times New Roman"/>
                <w:vertAlign w:val="subscript"/>
              </w:rPr>
              <w:t>bn</w:t>
            </w:r>
            <w:r>
              <w:rPr>
                <w:rFonts w:ascii="Times New Roman" w:hAnsi="Times New Roman"/>
              </w:rPr>
              <w:t>, R</w:t>
            </w:r>
            <w:r>
              <w:rPr>
                <w:rFonts w:ascii="Times New Roman" w:hAnsi="Times New Roman"/>
                <w:vertAlign w:val="subscript"/>
              </w:rPr>
              <w:t>btn</w:t>
            </w:r>
            <w:r>
              <w:rPr>
                <w:rFonts w:ascii="Times New Roman" w:hAnsi="Times New Roman"/>
              </w:rPr>
              <w:t xml:space="preserve"> и расчетные сопротивления R</w:t>
            </w:r>
            <w:r>
              <w:rPr>
                <w:rFonts w:ascii="Times New Roman" w:hAnsi="Times New Roman"/>
                <w:vertAlign w:val="subscript"/>
              </w:rPr>
              <w:t>b,ser</w:t>
            </w:r>
            <w:r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vertAlign w:val="subscript"/>
              </w:rPr>
              <w:t>bt,ser</w:t>
            </w:r>
            <w:r>
              <w:rPr>
                <w:rFonts w:ascii="Times New Roman" w:hAnsi="Times New Roman"/>
              </w:rPr>
              <w:t xml:space="preserve">, МПа, при классе бетона по прочности на сжатие 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B2,5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В25</w:t>
            </w:r>
          </w:p>
        </w:tc>
      </w:tr>
      <w:tr w:rsidR="00000000">
        <w:trPr>
          <w:cantSplit/>
          <w:trHeight w:val="579"/>
        </w:trPr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Сжатие осевое (призменная прочность)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vertAlign w:val="subscript"/>
              </w:rPr>
              <w:t>bsn</w:t>
            </w:r>
            <w:r>
              <w:rPr>
                <w:rFonts w:ascii="Times New Roman" w:hAnsi="Times New Roman"/>
              </w:rPr>
              <w:t>, R</w:t>
            </w:r>
            <w:r>
              <w:rPr>
                <w:rFonts w:ascii="Times New Roman" w:hAnsi="Times New Roman"/>
                <w:vertAlign w:val="subscript"/>
              </w:rPr>
              <w:t>b,ser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ячеистый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легкий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3,3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6,9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9,0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10,0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12,0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18,5</w:t>
            </w:r>
          </w:p>
        </w:tc>
      </w:tr>
      <w:tr w:rsidR="00000000">
        <w:trPr>
          <w:cantSplit/>
          <w:trHeight w:val="459"/>
        </w:trPr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Растяжение осевое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vertAlign w:val="subscript"/>
              </w:rPr>
              <w:t>btn</w:t>
            </w:r>
            <w:r>
              <w:rPr>
                <w:rFonts w:ascii="Times New Roman" w:hAnsi="Times New Roman"/>
              </w:rPr>
              <w:t>, R</w:t>
            </w:r>
            <w:r>
              <w:rPr>
                <w:rFonts w:ascii="Times New Roman" w:hAnsi="Times New Roman"/>
                <w:vertAlign w:val="subscript"/>
              </w:rPr>
              <w:t>bt,ser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ячеистый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легкий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0,26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0,31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0,41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0,73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0,89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0,95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1,05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1,3</w:t>
            </w:r>
          </w:p>
        </w:tc>
      </w:tr>
      <w:tr w:rsidR="00000000">
        <w:trPr>
          <w:cantSplit/>
          <w:trHeight w:val="211"/>
        </w:trPr>
        <w:tc>
          <w:tcPr>
            <w:tcW w:w="9639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Примечание:</w:t>
            </w:r>
            <w:r>
              <w:rPr>
                <w:rFonts w:ascii="Times New Roman" w:hAnsi="Times New Roman"/>
              </w:rPr>
              <w:t>Величины нормативных характеристик даны для средней влажности пенобетона 10% (по массе).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6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2334"/>
        <w:gridCol w:w="2334"/>
        <w:gridCol w:w="2334"/>
      </w:tblGrid>
      <w:tr w:rsidR="00000000">
        <w:trPr>
          <w:trHeight w:val="325"/>
        </w:trPr>
        <w:tc>
          <w:tcPr>
            <w:tcW w:w="96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Коэффициенты надежности по пенобетону при сжатии </w:t>
            </w: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bc</w:t>
            </w:r>
            <w:r>
              <w:rPr>
                <w:rFonts w:ascii="Times New Roman" w:hAnsi="Times New Roman"/>
              </w:rPr>
              <w:t xml:space="preserve"> и растяжении </w:t>
            </w: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bt</w:t>
            </w:r>
            <w:r>
              <w:rPr>
                <w:rFonts w:ascii="Times New Roman" w:hAnsi="Times New Roman"/>
              </w:rPr>
              <w:t xml:space="preserve"> для расчета конструкций по предельным состояниям</w:t>
            </w:r>
          </w:p>
        </w:tc>
      </w:tr>
      <w:tr w:rsidR="00000000">
        <w:tc>
          <w:tcPr>
            <w:tcW w:w="48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первый группы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второй группы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>bt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2,3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1,0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7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1286"/>
        <w:gridCol w:w="615"/>
        <w:gridCol w:w="631"/>
        <w:gridCol w:w="631"/>
        <w:gridCol w:w="615"/>
        <w:gridCol w:w="632"/>
        <w:gridCol w:w="615"/>
        <w:gridCol w:w="695"/>
        <w:gridCol w:w="615"/>
        <w:gridCol w:w="615"/>
        <w:gridCol w:w="616"/>
      </w:tblGrid>
      <w:tr w:rsidR="00000000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сопротивления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Вид пенобетона</w:t>
            </w:r>
          </w:p>
        </w:tc>
        <w:tc>
          <w:tcPr>
            <w:tcW w:w="666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Расчетные сопротивления пенобетона для предельных состояний первой группы R</w:t>
            </w:r>
            <w:r>
              <w:rPr>
                <w:rFonts w:ascii="Times New Roman" w:hAnsi="Times New Roman"/>
                <w:vertAlign w:val="subscript"/>
              </w:rPr>
              <w:t>b</w:t>
            </w:r>
            <w:r>
              <w:rPr>
                <w:rFonts w:ascii="Times New Roman" w:hAnsi="Times New Roman"/>
              </w:rPr>
              <w:t xml:space="preserve"> и R</w:t>
            </w:r>
            <w:r>
              <w:rPr>
                <w:rFonts w:ascii="Times New Roman" w:hAnsi="Times New Roman"/>
                <w:vertAlign w:val="subscript"/>
              </w:rPr>
              <w:t xml:space="preserve">bt, </w:t>
            </w:r>
            <w:r>
              <w:rPr>
                <w:rFonts w:ascii="Times New Roman" w:hAnsi="Times New Roman"/>
              </w:rPr>
              <w:t>МПа при классе бетона по прочности на сжатие</w:t>
            </w:r>
          </w:p>
        </w:tc>
      </w:tr>
      <w:tr w:rsidR="00000000">
        <w:trPr>
          <w:cantSplit/>
          <w:trHeight w:val="1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B2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B2,5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В25</w:t>
            </w:r>
          </w:p>
        </w:tc>
      </w:tr>
      <w:tr w:rsidR="00000000">
        <w:trPr>
          <w:cantSplit/>
          <w:trHeight w:val="5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Сжатие осевое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(призменная прочность) R</w:t>
            </w:r>
            <w:r>
              <w:rPr>
                <w:rFonts w:ascii="Times New Roman" w:hAnsi="Times New Roman"/>
                <w:vertAlign w:val="subscript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ячеистый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легкий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3,1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6,0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6,8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7,7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12,3</w:t>
            </w:r>
          </w:p>
        </w:tc>
      </w:tr>
      <w:tr w:rsidR="00000000">
        <w:trPr>
          <w:cantSplit/>
          <w:trHeight w:val="47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Растяжение осевое R</w:t>
            </w:r>
            <w:r>
              <w:rPr>
                <w:rFonts w:ascii="Times New Roman" w:hAnsi="Times New Roman"/>
                <w:vertAlign w:val="subscript"/>
              </w:rPr>
              <w:t>bt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ячеистый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легкий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0,12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0,14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0,28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0,39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0,43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0,46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0,52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0,57</w:t>
            </w:r>
          </w:p>
        </w:tc>
      </w:tr>
      <w:tr w:rsidR="00000000">
        <w:trPr>
          <w:cantSplit/>
          <w:trHeight w:val="101"/>
        </w:trPr>
        <w:tc>
          <w:tcPr>
            <w:tcW w:w="9639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Примечание:</w:t>
            </w:r>
            <w:r>
              <w:rPr>
                <w:rFonts w:ascii="Times New Roman" w:hAnsi="Times New Roman"/>
              </w:rPr>
              <w:t>Значения расчетных сопротивлений даны для средней влажности пенобетона 10% (по массе).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rPr>
          <w:b/>
          <w:bCs/>
        </w:rP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>2.14. Наибольший диаметр стержневой арматуры для монолитных стен не должен превышать:</w:t>
      </w:r>
    </w:p>
    <w:p w:rsidR="00000000" w:rsidRDefault="005B6C46">
      <w:pPr>
        <w:ind w:firstLine="400"/>
        <w:jc w:val="both"/>
      </w:pPr>
      <w:r>
        <w:rPr>
          <w:rStyle w:val="s0"/>
        </w:rPr>
        <w:t>- для тяжелого и легкого бетона классов:</w:t>
      </w:r>
    </w:p>
    <w:p w:rsidR="00000000" w:rsidRDefault="005B6C46">
      <w:pPr>
        <w:ind w:firstLine="400"/>
        <w:jc w:val="both"/>
      </w:pPr>
      <w:r>
        <w:rPr>
          <w:rStyle w:val="s0"/>
        </w:rPr>
        <w:t>В12,5 и ниже - 16мм,</w:t>
      </w:r>
    </w:p>
    <w:p w:rsidR="00000000" w:rsidRDefault="005B6C46">
      <w:pPr>
        <w:ind w:firstLine="400"/>
        <w:jc w:val="both"/>
      </w:pPr>
      <w:r>
        <w:rPr>
          <w:rStyle w:val="s0"/>
        </w:rPr>
        <w:lastRenderedPageBreak/>
        <w:t>В15 и выше - 25 мм,</w:t>
      </w:r>
    </w:p>
    <w:p w:rsidR="00000000" w:rsidRDefault="005B6C46">
      <w:pPr>
        <w:ind w:firstLine="400"/>
        <w:jc w:val="both"/>
      </w:pPr>
      <w:r>
        <w:rPr>
          <w:rStyle w:val="s0"/>
        </w:rPr>
        <w:t>- для пенобетона - 12 мм.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2.15. Нормативные сопротивления арматуры принимаются по </w:t>
      </w:r>
      <w:hyperlink r:id="rId38" w:anchor="sub_id=19" w:history="1">
        <w:r>
          <w:rPr>
            <w:rStyle w:val="a3"/>
          </w:rPr>
          <w:t>табл. 19</w:t>
        </w:r>
      </w:hyperlink>
      <w:r>
        <w:rPr>
          <w:rStyle w:val="s0"/>
        </w:rPr>
        <w:t xml:space="preserve">*, </w:t>
      </w:r>
      <w:hyperlink r:id="rId39" w:anchor="sub_id=20" w:history="1">
        <w:r>
          <w:rPr>
            <w:rStyle w:val="a3"/>
          </w:rPr>
          <w:t>20</w:t>
        </w:r>
      </w:hyperlink>
      <w:r>
        <w:rPr>
          <w:rStyle w:val="s0"/>
        </w:rPr>
        <w:t xml:space="preserve"> СНиП 2.03.01-84*.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Расчетные сопротивления арматуры при расчете конструкций по предельным состояниям первой группы при растяжении приведены в таблице 10, а для поперечной и сжатой арматуры - принимаются не больше значений, указанных в </w:t>
      </w:r>
      <w:hyperlink r:id="rId40" w:anchor="sub_id=10" w:history="1">
        <w:r>
          <w:rPr>
            <w:rStyle w:val="a3"/>
          </w:rPr>
          <w:t>табл. 10</w:t>
        </w:r>
      </w:hyperlink>
      <w:r>
        <w:rPr>
          <w:rStyle w:val="s0"/>
        </w:rPr>
        <w:t xml:space="preserve"> и </w:t>
      </w:r>
      <w:hyperlink r:id="rId41" w:anchor="sub_id=11" w:history="1">
        <w:r>
          <w:rPr>
            <w:rStyle w:val="a3"/>
          </w:rPr>
          <w:t>11</w:t>
        </w:r>
      </w:hyperlink>
      <w:r>
        <w:rPr>
          <w:rStyle w:val="s0"/>
        </w:rPr>
        <w:t>.</w:t>
      </w:r>
    </w:p>
    <w:p w:rsidR="00000000" w:rsidRDefault="005B6C46">
      <w:pPr>
        <w:autoSpaceDE w:val="0"/>
        <w:autoSpaceDN w:val="0"/>
        <w:ind w:firstLine="400"/>
        <w:jc w:val="both"/>
      </w:pPr>
      <w:r>
        <w:t>Кроме того, расчетные сопротивления R</w:t>
      </w:r>
      <w:r>
        <w:rPr>
          <w:vertAlign w:val="subscript"/>
        </w:rPr>
        <w:t>S</w:t>
      </w:r>
      <w:r>
        <w:t>, R</w:t>
      </w:r>
      <w:r>
        <w:rPr>
          <w:vertAlign w:val="subscript"/>
        </w:rPr>
        <w:t>SC</w:t>
      </w:r>
      <w:r>
        <w:t>, R</w:t>
      </w:r>
      <w:r>
        <w:rPr>
          <w:vertAlign w:val="subscript"/>
        </w:rPr>
        <w:t>SW</w:t>
      </w:r>
      <w:r>
        <w:t xml:space="preserve"> в соответствующих случаях следует ум</w:t>
      </w:r>
      <w:r>
        <w:t xml:space="preserve">ножать на коэффициенты условий работы арматуры согласно </w:t>
      </w:r>
      <w:hyperlink r:id="rId42" w:anchor="sub_id=12" w:history="1">
        <w:r>
          <w:rPr>
            <w:rStyle w:val="a3"/>
          </w:rPr>
          <w:t>табл. 12</w:t>
        </w:r>
      </w:hyperlink>
      <w:r>
        <w:t xml:space="preserve"> и </w:t>
      </w:r>
      <w:hyperlink r:id="rId43" w:anchor="sub_id=13" w:history="1">
        <w:r>
          <w:rPr>
            <w:rStyle w:val="a3"/>
          </w:rPr>
          <w:t>13.</w:t>
        </w:r>
      </w:hyperlink>
    </w:p>
    <w:p w:rsidR="00000000" w:rsidRDefault="005B6C46">
      <w:pPr>
        <w:ind w:firstLine="400"/>
        <w:jc w:val="both"/>
      </w:pPr>
      <w:r>
        <w:rPr>
          <w:rStyle w:val="s0"/>
        </w:rPr>
        <w:t>При расчете железобетонны</w:t>
      </w:r>
      <w:r>
        <w:rPr>
          <w:rStyle w:val="s0"/>
        </w:rPr>
        <w:t>х конструкций из пенобетона на особые сочетания нагрузок с учетом сейсмического воздействия вводится дополнительный коэффициент условий работы арматуры gSS , учитывающий сейсмический характер нагрузки, который принимается по табл. 13.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jc w:val="center"/>
      </w:pPr>
      <w:r>
        <w:rPr>
          <w:rStyle w:val="s1"/>
        </w:rPr>
        <w:t>3. РАСЧЕТ ЖЕЛЕЗОБЕТ</w:t>
      </w:r>
      <w:r>
        <w:rPr>
          <w:rStyle w:val="s1"/>
        </w:rPr>
        <w:t>ОННЫХ ЭЛЕМЕНТОВ ПО ПРОЧНОСТИ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3.1. Расчет прочности стеновых элементов из пенобетона следует производить по </w:t>
      </w:r>
      <w:hyperlink r:id="rId44" w:anchor="sub_id=401" w:history="1">
        <w:r>
          <w:rPr>
            <w:rStyle w:val="a3"/>
          </w:rPr>
          <w:t>п.4.1-4.9</w:t>
        </w:r>
      </w:hyperlink>
      <w:r>
        <w:rPr>
          <w:rStyle w:val="s0"/>
        </w:rPr>
        <w:t xml:space="preserve"> СН РК 2.03-12-2001.</w:t>
      </w:r>
    </w:p>
    <w:p w:rsidR="00000000" w:rsidRDefault="005B6C46">
      <w:pPr>
        <w:ind w:firstLine="400"/>
        <w:jc w:val="both"/>
      </w:pPr>
      <w:r>
        <w:rPr>
          <w:rStyle w:val="s0"/>
        </w:rPr>
        <w:t>3.2. Расчет прочности перемычек и пл</w:t>
      </w:r>
      <w:r>
        <w:rPr>
          <w:rStyle w:val="s0"/>
        </w:rPr>
        <w:t xml:space="preserve">ит перекрытий следует производить по </w:t>
      </w:r>
      <w:hyperlink r:id="rId45" w:anchor="sub_id=410" w:history="1">
        <w:r>
          <w:rPr>
            <w:rStyle w:val="a3"/>
          </w:rPr>
          <w:t>п.4.10</w:t>
        </w:r>
      </w:hyperlink>
      <w:r>
        <w:rPr>
          <w:rStyle w:val="s0"/>
        </w:rPr>
        <w:t xml:space="preserve"> СН РК 2.03-12-2001.</w:t>
      </w:r>
    </w:p>
    <w:p w:rsidR="00000000" w:rsidRDefault="005B6C46">
      <w:pPr>
        <w:ind w:firstLine="397"/>
        <w:jc w:val="center"/>
      </w:pPr>
      <w:r>
        <w:t> </w:t>
      </w:r>
    </w:p>
    <w:p w:rsidR="00000000" w:rsidRDefault="005B6C46">
      <w:pPr>
        <w:jc w:val="center"/>
      </w:pPr>
      <w:r>
        <w:rPr>
          <w:rStyle w:val="s1"/>
        </w:rPr>
        <w:t>4. РАСЧЕТ ЖЕЛЕЗОБЕТОННЫХ ЭЛЕМЕНТОВ ПО ПРЕДЕЛЬНЫМ СОСТОЯНИЯМ ВТОРОЙ ГРУППЫ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4.1. Расчет стержневых и стеновых железобетонных элементов из пенобетона по предельным состояниям второй группы следует производить по </w:t>
      </w:r>
      <w:hyperlink r:id="rId46" w:anchor="sub_id=501" w:history="1">
        <w:r>
          <w:rPr>
            <w:rStyle w:val="a3"/>
          </w:rPr>
          <w:t>п.5.1-5.4</w:t>
        </w:r>
      </w:hyperlink>
      <w:r>
        <w:rPr>
          <w:rStyle w:val="s0"/>
        </w:rPr>
        <w:t xml:space="preserve"> СН РК 2.03-12-2001.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jc w:val="center"/>
      </w:pPr>
      <w:r>
        <w:rPr>
          <w:rStyle w:val="s1"/>
        </w:rPr>
        <w:t>5. КОНСТРУКТИВНЫЕ ТРЕБОВАНИЯ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5.1. Конструктивные требования назначаются по </w:t>
      </w:r>
      <w:hyperlink r:id="rId47" w:anchor="sub_id=601" w:history="1">
        <w:r>
          <w:rPr>
            <w:rStyle w:val="a3"/>
          </w:rPr>
          <w:t>п.6.1-6.9</w:t>
        </w:r>
      </w:hyperlink>
      <w:r>
        <w:rPr>
          <w:rStyle w:val="s0"/>
        </w:rPr>
        <w:t xml:space="preserve"> СН РК 2.03-12-2001.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8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4"/>
        <w:gridCol w:w="1397"/>
        <w:gridCol w:w="1148"/>
      </w:tblGrid>
      <w:tr w:rsidR="00000000">
        <w:trPr>
          <w:cantSplit/>
        </w:trPr>
        <w:tc>
          <w:tcPr>
            <w:tcW w:w="7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Факторы, обеспечивающие введение коэффициента условий ра</w:t>
            </w:r>
            <w:r>
              <w:t>боты пенобетона</w:t>
            </w:r>
          </w:p>
        </w:tc>
        <w:tc>
          <w:tcPr>
            <w:tcW w:w="23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Коэффициент условий работы пенобетона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/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условное обозначение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числовое значение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1. Длительность действия нагрузки:</w:t>
            </w:r>
          </w:p>
          <w:p w:rsidR="00000000" w:rsidRDefault="005B6C46">
            <w:pPr>
              <w:autoSpaceDE w:val="0"/>
              <w:autoSpaceDN w:val="0"/>
              <w:jc w:val="both"/>
            </w:pPr>
            <w:r>
              <w:t>а) при учете постоянных, длительных и кратковременных нагрузок, кроме нагрузок непродолжительного действия, суммарная длительность действия которых за период эксплуатации мала (например, крановые нагрузки; ветровые нагрузки; нагрузки, возникающие при изгот</w:t>
            </w:r>
            <w:r>
              <w:t>овлении, транспортировании и возведении и т.п.), а также кроме особых нагрузок, вызванных сейсмическими воздействиями, деформациями просадочных, набухающих и тому подобных грунтов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0,85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pStyle w:val="31"/>
            </w:pPr>
            <w:r>
              <w:rPr>
                <w:rFonts w:ascii="Times New Roman" w:hAnsi="Times New Roman"/>
                <w:sz w:val="24"/>
                <w:szCs w:val="24"/>
              </w:rPr>
              <w:t>б) при учете сейсмических нагрузок для неопорбетона класса по проч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ности на сжатие: </w:t>
            </w:r>
          </w:p>
          <w:p w:rsidR="00000000" w:rsidRDefault="005B6C46">
            <w:pPr>
              <w:autoSpaceDE w:val="0"/>
              <w:autoSpaceDN w:val="0"/>
              <w:jc w:val="both"/>
            </w:pPr>
            <w:r>
              <w:t xml:space="preserve">В3,5 и менее </w:t>
            </w:r>
          </w:p>
          <w:p w:rsidR="00000000" w:rsidRDefault="005B6C46">
            <w:pPr>
              <w:autoSpaceDE w:val="0"/>
              <w:autoSpaceDN w:val="0"/>
              <w:jc w:val="both"/>
            </w:pPr>
            <w:r>
              <w:t>В15 и более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bs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1,0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lastRenderedPageBreak/>
              <w:t>в) при учете в рассматриваемом сочетании кратковременных нагрузок непродолжительного действия, не указанных в поз. 1б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2. Бетонирование в вертикальном положении при высоте слоя бетонирова</w:t>
            </w:r>
            <w:r>
              <w:t>ния более 1,5 м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0,8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 xml:space="preserve">3. Эксплуатация не защищенных от солнечной радиации конструкций в климатическом подрайоне IVA согласно </w:t>
            </w:r>
            <w:hyperlink r:id="rId48" w:history="1">
              <w:r>
                <w:rPr>
                  <w:rStyle w:val="a3"/>
                </w:rPr>
                <w:t>СНиП РК 2.04-01-2001</w:t>
              </w:r>
            </w:hyperlink>
            <w:r>
              <w:t xml:space="preserve"> [</w:t>
            </w:r>
            <w:hyperlink r:id="rId49" w:anchor="sub_id=615" w:history="1">
              <w:r>
                <w:rPr>
                  <w:rStyle w:val="a3"/>
                </w:rPr>
                <w:t>15</w:t>
              </w:r>
            </w:hyperlink>
            <w:r>
              <w:t>]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0,85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4. Бетонные конструкции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c>
          <w:tcPr>
            <w:tcW w:w="73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 xml:space="preserve">5. Влажность пенобетона: </w:t>
            </w:r>
          </w:p>
          <w:p w:rsidR="00000000" w:rsidRDefault="005B6C46">
            <w:pPr>
              <w:autoSpaceDE w:val="0"/>
              <w:autoSpaceDN w:val="0"/>
              <w:ind w:left="370"/>
              <w:jc w:val="both"/>
            </w:pPr>
            <w:r>
              <w:t>10% и менее</w:t>
            </w:r>
          </w:p>
          <w:p w:rsidR="00000000" w:rsidRDefault="005B6C46">
            <w:pPr>
              <w:autoSpaceDE w:val="0"/>
              <w:autoSpaceDN w:val="0"/>
              <w:ind w:left="370"/>
              <w:jc w:val="both"/>
            </w:pPr>
            <w:r>
              <w:t>25% и более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b11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b11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000000" w:rsidRDefault="005B6C46">
            <w:pPr>
              <w:autoSpaceDE w:val="0"/>
              <w:autoSpaceDN w:val="0"/>
              <w:jc w:val="center"/>
            </w:pPr>
            <w:r>
              <w:t>1,0</w:t>
            </w:r>
          </w:p>
          <w:p w:rsidR="00000000" w:rsidRDefault="005B6C46">
            <w:pPr>
              <w:autoSpaceDE w:val="0"/>
              <w:autoSpaceDN w:val="0"/>
              <w:jc w:val="center"/>
            </w:pPr>
            <w:r>
              <w:t>0,85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9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7"/>
        <w:gridCol w:w="743"/>
        <w:gridCol w:w="760"/>
        <w:gridCol w:w="759"/>
        <w:gridCol w:w="744"/>
        <w:gridCol w:w="760"/>
        <w:gridCol w:w="753"/>
        <w:gridCol w:w="772"/>
        <w:gridCol w:w="755"/>
        <w:gridCol w:w="756"/>
        <w:gridCol w:w="756"/>
      </w:tblGrid>
      <w:tr w:rsidR="00000000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Марка по средней плотности D, кг/м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7796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Начальные модули пенобетона при сжатии и растяжении Е</w:t>
            </w:r>
            <w:r>
              <w:rPr>
                <w:rFonts w:ascii="Times New Roman" w:hAnsi="Times New Roman"/>
                <w:vertAlign w:val="subscript"/>
              </w:rPr>
              <w:t>b</w:t>
            </w:r>
            <w:r>
              <w:rPr>
                <w:rFonts w:ascii="Times New Roman" w:hAnsi="Times New Roman"/>
              </w:rPr>
              <w:t xml:space="preserve"> 10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 xml:space="preserve">, МПа, 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при классе пенобетона по прочности на сжатие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В25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D800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D900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5,6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D1100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7,6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8,5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D1200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8,4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8,8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9,2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D1400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10,2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D1600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13,0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14,1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ind w:left="370"/>
              <w:jc w:val="left"/>
            </w:pPr>
            <w:r>
              <w:rPr>
                <w:rFonts w:ascii="Times New Roman" w:hAnsi="Times New Roman"/>
              </w:rPr>
              <w:t>D1800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15,9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17,5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10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2289"/>
        <w:gridCol w:w="2699"/>
        <w:gridCol w:w="2231"/>
      </w:tblGrid>
      <w:tr w:rsidR="00000000">
        <w:trPr>
          <w:cantSplit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Класс арматуры</w:t>
            </w:r>
          </w:p>
        </w:tc>
        <w:tc>
          <w:tcPr>
            <w:tcW w:w="74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Расчетные сопротивления арматуры для предельных состояний первой группы, МПа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5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растяжению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сжатию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продольной, R</w:t>
            </w:r>
            <w:r>
              <w:rPr>
                <w:rFonts w:ascii="Times New Roman" w:hAnsi="Times New Roman"/>
                <w:vertAlign w:val="subscript"/>
              </w:rPr>
              <w:t>s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поперечной, R</w:t>
            </w:r>
            <w:r>
              <w:rPr>
                <w:rFonts w:ascii="Times New Roman" w:hAnsi="Times New Roman"/>
                <w:vertAlign w:val="subscript"/>
              </w:rPr>
              <w:t>sw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vertAlign w:val="subscript"/>
              </w:rPr>
              <w:t>sc</w:t>
            </w:r>
          </w:p>
        </w:tc>
      </w:tr>
      <w:tr w:rsidR="00000000">
        <w:tc>
          <w:tcPr>
            <w:tcW w:w="2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А-I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А-II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А-III диаметром: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6-8 мм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10-40 мм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А-IV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 xml:space="preserve">А-IIIв с контролем: 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 xml:space="preserve">- удлинения и напряжения 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- только удлинения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225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280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355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510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490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450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175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225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285</w:t>
            </w:r>
            <w:r>
              <w:rPr>
                <w:rFonts w:ascii="Times New Roman" w:hAnsi="Times New Roman"/>
                <w:vertAlign w:val="superscript"/>
              </w:rPr>
              <w:t>1)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290</w:t>
            </w:r>
            <w:r>
              <w:rPr>
                <w:rFonts w:ascii="Times New Roman" w:hAnsi="Times New Roman"/>
                <w:vertAlign w:val="superscript"/>
              </w:rPr>
              <w:t>1)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405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390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225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280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355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450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200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000000">
        <w:tc>
          <w:tcPr>
            <w:tcW w:w="2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Вр-I диаметром: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3 мм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4 мм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 xml:space="preserve"> 5 мм 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375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360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270;300</w:t>
            </w:r>
            <w:r>
              <w:rPr>
                <w:rFonts w:ascii="Times New Roman" w:hAnsi="Times New Roman"/>
                <w:vertAlign w:val="superscript"/>
              </w:rPr>
              <w:t>2)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265; 295</w:t>
            </w:r>
            <w:r>
              <w:rPr>
                <w:rFonts w:ascii="Times New Roman" w:hAnsi="Times New Roman"/>
                <w:vertAlign w:val="superscript"/>
              </w:rPr>
              <w:t>2)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260; 290</w:t>
            </w:r>
            <w:r>
              <w:rPr>
                <w:rFonts w:ascii="Times New Roman" w:hAnsi="Times New Roman"/>
                <w:vertAlign w:val="superscript"/>
              </w:rPr>
              <w:t>2)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375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360</w:t>
            </w:r>
          </w:p>
        </w:tc>
      </w:tr>
      <w:tr w:rsidR="00000000">
        <w:trPr>
          <w:cantSplit/>
          <w:trHeight w:val="1279"/>
        </w:trPr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5B6C46">
            <w:pPr>
              <w:autoSpaceDE w:val="0"/>
              <w:autoSpaceDN w:val="0"/>
              <w:ind w:firstLine="397"/>
              <w:jc w:val="both"/>
            </w:pPr>
            <w:r>
              <w:rPr>
                <w:b/>
                <w:bCs/>
                <w:i/>
                <w:iCs/>
              </w:rPr>
              <w:lastRenderedPageBreak/>
              <w:t>Примечания:</w:t>
            </w:r>
            <w:r>
              <w:t xml:space="preserve"> </w:t>
            </w:r>
            <w:r>
              <w:t>1. Принимается в сварных каркасах для хомутов из арматуры класса А-III, диаметр которых меньше 1/3 диаметра продольной арматуры, значение R</w:t>
            </w:r>
            <w:r>
              <w:rPr>
                <w:vertAlign w:val="subscript"/>
              </w:rPr>
              <w:t>SW</w:t>
            </w:r>
            <w:r>
              <w:t xml:space="preserve"> принимается равным 255 МПа.</w:t>
            </w:r>
          </w:p>
          <w:p w:rsidR="00000000" w:rsidRDefault="005B6C46">
            <w:pPr>
              <w:pStyle w:val="21"/>
            </w:pPr>
            <w:r>
              <w:rPr>
                <w:rFonts w:ascii="Times New Roman" w:hAnsi="Times New Roman"/>
              </w:rPr>
              <w:t>2. Принимаются для вязанных каркасов.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11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736"/>
        <w:gridCol w:w="764"/>
        <w:gridCol w:w="764"/>
        <w:gridCol w:w="737"/>
        <w:gridCol w:w="764"/>
        <w:gridCol w:w="755"/>
        <w:gridCol w:w="797"/>
        <w:gridCol w:w="755"/>
        <w:gridCol w:w="755"/>
        <w:gridCol w:w="755"/>
      </w:tblGrid>
      <w:tr w:rsidR="00000000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Арматура</w:t>
            </w:r>
          </w:p>
        </w:tc>
        <w:tc>
          <w:tcPr>
            <w:tcW w:w="7796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Расчетные сопротивления растяжению поперечной арматуры R</w:t>
            </w:r>
            <w:r>
              <w:rPr>
                <w:rFonts w:ascii="Times New Roman" w:hAnsi="Times New Roman"/>
                <w:vertAlign w:val="subscript"/>
              </w:rPr>
              <w:t>sw</w:t>
            </w:r>
            <w:r>
              <w:rPr>
                <w:rFonts w:ascii="Times New Roman" w:hAnsi="Times New Roman"/>
              </w:rPr>
              <w:t xml:space="preserve"> и сжатой продольной арматуры R</w:t>
            </w:r>
            <w:r>
              <w:rPr>
                <w:rFonts w:ascii="Times New Roman" w:hAnsi="Times New Roman"/>
                <w:vertAlign w:val="subscript"/>
              </w:rPr>
              <w:t>sc</w:t>
            </w:r>
            <w:r>
              <w:rPr>
                <w:rFonts w:ascii="Times New Roman" w:hAnsi="Times New Roman"/>
              </w:rPr>
              <w:t>, Мпа, при классе пенобетона по прочности на сжатие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В3,5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В7,5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В25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Поперечная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62,5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460</w:t>
            </w:r>
          </w:p>
        </w:tc>
      </w:tr>
      <w:tr w:rsidR="00000000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Сжатая продольная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195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235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278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360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12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2260"/>
        <w:gridCol w:w="2572"/>
      </w:tblGrid>
      <w:tr w:rsidR="00000000">
        <w:trPr>
          <w:cantSplit/>
          <w:trHeight w:val="357"/>
        </w:trPr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Защитное покрытие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Коэффициент условий работы </w:t>
            </w: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 xml:space="preserve">s9 </w:t>
            </w:r>
            <w:r>
              <w:rPr>
                <w:rFonts w:ascii="Times New Roman" w:hAnsi="Times New Roman"/>
              </w:rPr>
              <w:t>при арматуре</w:t>
            </w:r>
          </w:p>
        </w:tc>
      </w:tr>
      <w:tr w:rsidR="00000000">
        <w:trPr>
          <w:cantSplit/>
          <w:trHeight w:val="28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гладкой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периодического профиля</w:t>
            </w:r>
          </w:p>
        </w:tc>
      </w:tr>
      <w:tr w:rsidR="00000000"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autoSpaceDE w:val="0"/>
              <w:autoSpaceDN w:val="0"/>
              <w:jc w:val="both"/>
            </w:pPr>
            <w:r>
              <w:t>1. Цементно-полистирольное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 xml:space="preserve">латексно-минеральное </w:t>
            </w:r>
          </w:p>
          <w:p w:rsidR="00000000" w:rsidRDefault="005B6C46">
            <w:pPr>
              <w:autoSpaceDE w:val="0"/>
              <w:autoSpaceDN w:val="0"/>
              <w:jc w:val="both"/>
            </w:pPr>
            <w:r>
              <w:t>2. Цементно-битумное (холодное) при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диаметре арматуры: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5 мм и менее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 6 мм и более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3. Битумно-силикатное (горячее)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4. Битумно-глиняное</w:t>
            </w:r>
          </w:p>
          <w:p w:rsidR="00000000" w:rsidRDefault="005B6C46">
            <w:pPr>
              <w:pStyle w:val="21"/>
              <w:jc w:val="left"/>
            </w:pPr>
            <w:r>
              <w:rPr>
                <w:rFonts w:ascii="Times New Roman" w:hAnsi="Times New Roman"/>
              </w:rPr>
              <w:t>5. Сланце-битумное, цементное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0,5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0,7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0,5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autoSpaceDE w:val="0"/>
        <w:autoSpaceDN w:val="0"/>
        <w:ind w:firstLine="397"/>
        <w:jc w:val="right"/>
      </w:pPr>
      <w:r>
        <w:t>Таблица 13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2268"/>
        <w:gridCol w:w="2693"/>
        <w:gridCol w:w="2242"/>
      </w:tblGrid>
      <w:tr w:rsidR="00000000">
        <w:trPr>
          <w:cantSplit/>
          <w:trHeight w:val="277"/>
        </w:trPr>
        <w:tc>
          <w:tcPr>
            <w:tcW w:w="2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 </w:t>
            </w:r>
          </w:p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Класс арматуры</w:t>
            </w:r>
          </w:p>
        </w:tc>
        <w:tc>
          <w:tcPr>
            <w:tcW w:w="72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 xml:space="preserve">Коэффициент условий работы </w:t>
            </w:r>
            <w:r>
              <w:rPr>
                <w:rFonts w:ascii="Symbol" w:hAnsi="Symbol"/>
              </w:rPr>
              <w:t></w:t>
            </w:r>
            <w:r>
              <w:rPr>
                <w:rFonts w:ascii="Times New Roman" w:hAnsi="Times New Roman"/>
                <w:vertAlign w:val="subscript"/>
              </w:rPr>
              <w:t xml:space="preserve">s9 </w:t>
            </w:r>
            <w:r>
              <w:rPr>
                <w:rFonts w:ascii="Times New Roman" w:hAnsi="Times New Roman"/>
              </w:rPr>
              <w:t>, учитывающий сейсмический характер нагрузки</w:t>
            </w:r>
          </w:p>
        </w:tc>
      </w:tr>
      <w:tr w:rsidR="00000000">
        <w:trPr>
          <w:cantSplit/>
          <w:trHeight w:val="26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растянутый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сжатый</w:t>
            </w:r>
          </w:p>
        </w:tc>
      </w:tr>
      <w:tr w:rsidR="00000000">
        <w:trPr>
          <w:cantSplit/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B6C46">
            <w:pPr>
              <w:rPr>
                <w:rFonts w:ascii="Times/Kazakh" w:hAnsi="Times/Kazakh"/>
                <w:color w:va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продольной, R</w:t>
            </w:r>
            <w:r>
              <w:rPr>
                <w:rFonts w:ascii="Times New Roman" w:hAnsi="Times New Roman"/>
                <w:vertAlign w:val="subscript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поперечной, R</w:t>
            </w:r>
            <w:r>
              <w:rPr>
                <w:rFonts w:ascii="Times New Roman" w:hAnsi="Times New Roman"/>
                <w:vertAlign w:val="subscript"/>
              </w:rPr>
              <w:t>sw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5B6C46">
            <w:pPr>
              <w:pStyle w:val="21"/>
              <w:jc w:val="center"/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vertAlign w:val="subscript"/>
              </w:rPr>
              <w:t>sc</w:t>
            </w:r>
          </w:p>
        </w:tc>
      </w:tr>
      <w:tr w:rsidR="00000000">
        <w:trPr>
          <w:trHeight w:val="762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602"/>
              <w:jc w:val="left"/>
            </w:pPr>
            <w:r>
              <w:rPr>
                <w:rFonts w:ascii="Times New Roman" w:hAnsi="Times New Roman"/>
              </w:rPr>
              <w:t>А-I</w:t>
            </w:r>
          </w:p>
          <w:p w:rsidR="00000000" w:rsidRDefault="005B6C46">
            <w:pPr>
              <w:pStyle w:val="21"/>
              <w:ind w:left="602"/>
              <w:jc w:val="left"/>
            </w:pPr>
            <w:r>
              <w:rPr>
                <w:rFonts w:ascii="Times New Roman" w:hAnsi="Times New Roman"/>
              </w:rPr>
              <w:t>А-II</w:t>
            </w:r>
          </w:p>
          <w:p w:rsidR="00000000" w:rsidRDefault="005B6C46">
            <w:pPr>
              <w:pStyle w:val="21"/>
              <w:ind w:left="602"/>
              <w:jc w:val="left"/>
            </w:pPr>
            <w:r>
              <w:rPr>
                <w:rFonts w:ascii="Times New Roman" w:hAnsi="Times New Roman"/>
              </w:rPr>
              <w:t>А-III, Вр-I, В-1</w:t>
            </w:r>
          </w:p>
          <w:p w:rsidR="00000000" w:rsidRDefault="005B6C46">
            <w:pPr>
              <w:pStyle w:val="21"/>
              <w:ind w:left="602"/>
              <w:jc w:val="left"/>
            </w:pPr>
            <w:r>
              <w:rPr>
                <w:rFonts w:ascii="Times New Roman" w:hAnsi="Times New Roman"/>
              </w:rPr>
              <w:t>А-IIIв, А-IV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1,2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1,15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1,1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1041"/>
              <w:jc w:val="left"/>
            </w:pPr>
            <w:r>
              <w:rPr>
                <w:rFonts w:ascii="Times New Roman" w:hAnsi="Times New Roman"/>
              </w:rPr>
              <w:t>0,9</w:t>
            </w:r>
          </w:p>
          <w:p w:rsidR="00000000" w:rsidRDefault="005B6C46">
            <w:pPr>
              <w:pStyle w:val="21"/>
              <w:ind w:left="1041"/>
              <w:jc w:val="left"/>
            </w:pPr>
            <w:r>
              <w:rPr>
                <w:rFonts w:ascii="Times New Roman" w:hAnsi="Times New Roman"/>
              </w:rPr>
              <w:t>0,9</w:t>
            </w:r>
          </w:p>
          <w:p w:rsidR="00000000" w:rsidRDefault="005B6C46">
            <w:pPr>
              <w:pStyle w:val="21"/>
              <w:ind w:left="1041"/>
              <w:jc w:val="left"/>
            </w:pPr>
            <w:r>
              <w:rPr>
                <w:rFonts w:ascii="Times New Roman" w:hAnsi="Times New Roman"/>
              </w:rPr>
              <w:t>0,9</w:t>
            </w:r>
          </w:p>
          <w:p w:rsidR="00000000" w:rsidRDefault="005B6C46">
            <w:pPr>
              <w:pStyle w:val="21"/>
              <w:ind w:left="1041"/>
              <w:jc w:val="left"/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1,0</w:t>
            </w:r>
          </w:p>
          <w:p w:rsidR="00000000" w:rsidRDefault="005B6C46">
            <w:pPr>
              <w:pStyle w:val="21"/>
              <w:ind w:left="842"/>
              <w:jc w:val="left"/>
            </w:pPr>
            <w:r>
              <w:rPr>
                <w:rFonts w:ascii="Times New Roman" w:hAnsi="Times New Roman"/>
              </w:rPr>
              <w:t>1,0</w:t>
            </w:r>
          </w:p>
        </w:tc>
      </w:tr>
    </w:tbl>
    <w:p w:rsidR="00000000" w:rsidRDefault="005B6C46">
      <w:pPr>
        <w:autoSpaceDE w:val="0"/>
        <w:autoSpaceDN w:val="0"/>
        <w:ind w:firstLine="397"/>
        <w:jc w:val="right"/>
      </w:pPr>
      <w:r>
        <w:t> </w:t>
      </w:r>
    </w:p>
    <w:p w:rsidR="00000000" w:rsidRDefault="005B6C46">
      <w:pPr>
        <w:autoSpaceDE w:val="0"/>
        <w:autoSpaceDN w:val="0"/>
        <w:ind w:firstLine="397"/>
        <w:jc w:val="both"/>
      </w:pPr>
      <w:r>
        <w:t> </w:t>
      </w:r>
    </w:p>
    <w:p w:rsidR="00000000" w:rsidRDefault="005B6C46">
      <w:pPr>
        <w:jc w:val="center"/>
      </w:pPr>
      <w:r>
        <w:rPr>
          <w:rStyle w:val="s1"/>
        </w:rPr>
        <w:t>6. ПЕРЕЧЕНЬ НОРМАТИВНЫХ ДОКУМЕНТОВ, НА КОТОРЫЕ ДАНЫ ССЫЛКИ</w:t>
      </w:r>
    </w:p>
    <w:p w:rsidR="00000000" w:rsidRDefault="005B6C46">
      <w:pPr>
        <w:autoSpaceDE w:val="0"/>
        <w:autoSpaceDN w:val="0"/>
        <w:ind w:firstLine="397"/>
        <w:jc w:val="both"/>
      </w:pPr>
      <w:r>
        <w:rPr>
          <w:caps/>
        </w:rPr>
        <w:t> 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1. </w:t>
      </w:r>
      <w:hyperlink r:id="rId50" w:history="1">
        <w:r>
          <w:rPr>
            <w:rStyle w:val="a3"/>
          </w:rPr>
          <w:t>СНиП 2.03.01-84</w:t>
        </w:r>
      </w:hyperlink>
      <w:r>
        <w:rPr>
          <w:rStyle w:val="s0"/>
        </w:rPr>
        <w:t>*. Бетонные и железобетонные конструкции. М., С. 1989.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2. </w:t>
      </w:r>
      <w:hyperlink r:id="rId51" w:history="1">
        <w:r>
          <w:rPr>
            <w:rStyle w:val="a3"/>
          </w:rPr>
          <w:t>СНиП РК 2.03-04-2001</w:t>
        </w:r>
      </w:hyperlink>
      <w:r>
        <w:rPr>
          <w:rStyle w:val="s0"/>
        </w:rPr>
        <w:t>. Строительство в сейсмических районах. Астана. 2002.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3. </w:t>
      </w:r>
      <w:hyperlink r:id="rId52" w:history="1">
        <w:r>
          <w:rPr>
            <w:rStyle w:val="a3"/>
          </w:rPr>
          <w:t>СНиП II-3-79</w:t>
        </w:r>
      </w:hyperlink>
      <w:r>
        <w:rPr>
          <w:rStyle w:val="s0"/>
        </w:rPr>
        <w:t>**. Строительная теплотехника. Нормы п</w:t>
      </w:r>
      <w:r>
        <w:rPr>
          <w:rStyle w:val="s0"/>
        </w:rPr>
        <w:t>роектирования. М.,С. 1986.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4. </w:t>
      </w:r>
      <w:hyperlink r:id="rId53" w:history="1">
        <w:r>
          <w:rPr>
            <w:rStyle w:val="a3"/>
          </w:rPr>
          <w:t>СН РК 2.03-07-2001</w:t>
        </w:r>
      </w:hyperlink>
      <w:r>
        <w:rPr>
          <w:rStyle w:val="s0"/>
        </w:rPr>
        <w:t>. Застройка города Алматы и прилегающих территорий с учетом сейсмического микрорайонирования. Астана. 2002.</w:t>
      </w:r>
    </w:p>
    <w:p w:rsidR="00000000" w:rsidRDefault="005B6C46">
      <w:pPr>
        <w:ind w:firstLine="400"/>
        <w:jc w:val="both"/>
      </w:pPr>
      <w:r>
        <w:rPr>
          <w:rStyle w:val="s0"/>
        </w:rPr>
        <w:lastRenderedPageBreak/>
        <w:t xml:space="preserve">5. </w:t>
      </w:r>
      <w:hyperlink r:id="rId54" w:history="1">
        <w:r>
          <w:rPr>
            <w:rStyle w:val="a3"/>
          </w:rPr>
          <w:t>СН РК В.2.7.5-95</w:t>
        </w:r>
      </w:hyperlink>
      <w:r>
        <w:t>.</w:t>
      </w:r>
      <w:r>
        <w:rPr>
          <w:rStyle w:val="s0"/>
        </w:rPr>
        <w:t xml:space="preserve"> Инструкция по изготовлению изделий из неопорбетона. Алматы. 1995.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6. </w:t>
      </w:r>
      <w:hyperlink r:id="rId55" w:history="1">
        <w:r>
          <w:rPr>
            <w:rStyle w:val="a3"/>
          </w:rPr>
          <w:t>ГОСТ 8829-94</w:t>
        </w:r>
      </w:hyperlink>
      <w:r>
        <w:rPr>
          <w:rStyle w:val="s0"/>
        </w:rPr>
        <w:t>. Изделия строительные железобетонные и бетонные заводского</w:t>
      </w:r>
      <w:r>
        <w:rPr>
          <w:rStyle w:val="s0"/>
        </w:rPr>
        <w:t xml:space="preserve"> изготовления. Методы испытаний нагружением. Правила оценки прочности, жесткости и трещиностойкости. Взамен ГОСТ 8829-85.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7. </w:t>
      </w:r>
      <w:hyperlink r:id="rId56" w:history="1">
        <w:r>
          <w:rPr>
            <w:rStyle w:val="a3"/>
          </w:rPr>
          <w:t>ГОСТ 27005-86</w:t>
        </w:r>
      </w:hyperlink>
      <w:r>
        <w:rPr>
          <w:rStyle w:val="s0"/>
        </w:rPr>
        <w:t xml:space="preserve">. Бетоны легкие и ячеистые. Правила контроля средней </w:t>
      </w:r>
      <w:r>
        <w:rPr>
          <w:rStyle w:val="s0"/>
        </w:rPr>
        <w:t>плотности. М., С. 1986.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8. </w:t>
      </w:r>
      <w:hyperlink r:id="rId57" w:history="1">
        <w:r>
          <w:rPr>
            <w:rStyle w:val="a3"/>
          </w:rPr>
          <w:t>ГОСТ 10060.0-95</w:t>
        </w:r>
      </w:hyperlink>
      <w:r>
        <w:rPr>
          <w:rStyle w:val="s0"/>
        </w:rPr>
        <w:t>. Бетоны. Методы определения морозостойкости. Общие требования. Взамен ГОСТ 10060-87.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9. </w:t>
      </w:r>
      <w:hyperlink r:id="rId58" w:history="1">
        <w:r>
          <w:rPr>
            <w:rStyle w:val="a3"/>
          </w:rPr>
          <w:t>СНиП 2.03.11-85</w:t>
        </w:r>
      </w:hyperlink>
      <w:r>
        <w:rPr>
          <w:rStyle w:val="s0"/>
        </w:rPr>
        <w:t>. Защита строительных конструкций от коррозии. М., С. 1985.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10. </w:t>
      </w:r>
      <w:hyperlink r:id="rId59" w:history="1">
        <w:r>
          <w:rPr>
            <w:rStyle w:val="a3"/>
          </w:rPr>
          <w:t>СН 277-80</w:t>
        </w:r>
      </w:hyperlink>
      <w:r>
        <w:rPr>
          <w:rStyle w:val="s0"/>
        </w:rPr>
        <w:t>. Инструкция по технологии изготовления изделий из ячеистых бетонов. М., С. 1980.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11. </w:t>
      </w:r>
      <w:hyperlink r:id="rId60" w:history="1">
        <w:r>
          <w:rPr>
            <w:rStyle w:val="a3"/>
          </w:rPr>
          <w:t>СНиП 2.01.07-85</w:t>
        </w:r>
      </w:hyperlink>
      <w:r>
        <w:rPr>
          <w:rStyle w:val="s0"/>
        </w:rPr>
        <w:t>*. Нагрузки и воздействия. М., 2001.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12. </w:t>
      </w:r>
      <w:hyperlink r:id="rId61" w:history="1">
        <w:r>
          <w:rPr>
            <w:rStyle w:val="a3"/>
          </w:rPr>
          <w:t>СНиП РК 2.04-01-2001</w:t>
        </w:r>
      </w:hyperlink>
      <w:r>
        <w:rPr>
          <w:rStyle w:val="s0"/>
        </w:rPr>
        <w:t>. Строительная климатология. Астана. 2002.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13. </w:t>
      </w:r>
      <w:hyperlink r:id="rId62" w:history="1">
        <w:r>
          <w:rPr>
            <w:rStyle w:val="a3"/>
          </w:rPr>
          <w:t>СН РК 2.03-12-2001</w:t>
        </w:r>
      </w:hyperlink>
      <w:r>
        <w:rPr>
          <w:rStyle w:val="s0"/>
        </w:rPr>
        <w:t>. Указания по проектированию монолитных зданий для сейсмических районов. Астана. 2002.</w:t>
      </w:r>
    </w:p>
    <w:p w:rsidR="00000000" w:rsidRDefault="005B6C46">
      <w:pPr>
        <w:ind w:firstLine="400"/>
        <w:jc w:val="both"/>
      </w:pPr>
      <w:r>
        <w:rPr>
          <w:rStyle w:val="s0"/>
        </w:rPr>
        <w:t>14. Инструктивное письмо Минстроя РК об экономии ТЭР. ФГ-2-8 от 24 декабря 1994 года.</w:t>
      </w:r>
    </w:p>
    <w:p w:rsidR="00000000" w:rsidRDefault="005B6C46">
      <w:pPr>
        <w:ind w:firstLine="400"/>
        <w:jc w:val="both"/>
      </w:pPr>
      <w:r>
        <w:rPr>
          <w:rStyle w:val="s0"/>
        </w:rPr>
        <w:t>15.</w:t>
      </w:r>
      <w:r>
        <w:rPr>
          <w:rStyle w:val="s0"/>
        </w:rPr>
        <w:t xml:space="preserve"> </w:t>
      </w:r>
      <w:hyperlink r:id="rId63" w:history="1">
        <w:r>
          <w:rPr>
            <w:rStyle w:val="a3"/>
          </w:rPr>
          <w:t>СНиП РК 2.04-01-2001</w:t>
        </w:r>
      </w:hyperlink>
      <w:r>
        <w:rPr>
          <w:rStyle w:val="s0"/>
        </w:rPr>
        <w:t>. Строительная климатология. Астана, 2002.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16. </w:t>
      </w:r>
      <w:hyperlink r:id="rId64" w:history="1">
        <w:r>
          <w:rPr>
            <w:rStyle w:val="a3"/>
          </w:rPr>
          <w:t>ГОСТ 8736-93*</w:t>
        </w:r>
      </w:hyperlink>
      <w:r>
        <w:rPr>
          <w:rStyle w:val="s0"/>
        </w:rPr>
        <w:t>. Песок для строительных работ. Технические у</w:t>
      </w:r>
      <w:r>
        <w:rPr>
          <w:rStyle w:val="s0"/>
        </w:rPr>
        <w:t>словия.</w:t>
      </w:r>
    </w:p>
    <w:p w:rsidR="00000000" w:rsidRDefault="005B6C46">
      <w:pPr>
        <w:ind w:firstLine="400"/>
        <w:jc w:val="both"/>
      </w:pPr>
      <w:r>
        <w:rPr>
          <w:rStyle w:val="s0"/>
        </w:rPr>
        <w:t xml:space="preserve">17. </w:t>
      </w:r>
      <w:hyperlink r:id="rId65" w:history="1">
        <w:r>
          <w:rPr>
            <w:rStyle w:val="a3"/>
          </w:rPr>
          <w:t>ГОСТ 10178-85</w:t>
        </w:r>
      </w:hyperlink>
      <w:r>
        <w:rPr>
          <w:rStyle w:val="s0"/>
        </w:rPr>
        <w:t>*. Портландцемент и шлакопортландцемент. Технические условия.</w:t>
      </w:r>
    </w:p>
    <w:sectPr w:rsidR="00000000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C46" w:rsidRDefault="005B6C46" w:rsidP="005B6C46">
      <w:r>
        <w:separator/>
      </w:r>
    </w:p>
  </w:endnote>
  <w:endnote w:type="continuationSeparator" w:id="0">
    <w:p w:rsidR="005B6C46" w:rsidRDefault="005B6C46" w:rsidP="005B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roman"/>
    <w:notTrueType/>
    <w:pitch w:val="default"/>
  </w:font>
  <w:font w:name="Arial(K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C46" w:rsidRDefault="005B6C46" w:rsidP="005B6C46">
      <w:r>
        <w:separator/>
      </w:r>
    </w:p>
  </w:footnote>
  <w:footnote w:type="continuationSeparator" w:id="0">
    <w:p w:rsidR="005B6C46" w:rsidRDefault="005B6C46" w:rsidP="005B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 w:rsidP="005B6C4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B6C46" w:rsidRPr="005B6C46" w:rsidRDefault="005B6C46" w:rsidP="005B6C4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5.03-05-2001 «Инструкция по проектированию монолитных зданий из пенобетонов»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C46" w:rsidRDefault="005B6C4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B6C46"/>
    <w:rsid w:val="005B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3C5DE-5AEB-4FD5-97E1-861526F8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jc w:val="center"/>
      <w:outlineLvl w:val="0"/>
    </w:pPr>
    <w:rPr>
      <w:rFonts w:ascii="Times/Kazakh" w:hAnsi="Times/Kazakh"/>
      <w:color w:val="auto"/>
      <w:kern w:val="36"/>
    </w:rPr>
  </w:style>
  <w:style w:type="paragraph" w:styleId="2">
    <w:name w:val="heading 2"/>
    <w:basedOn w:val="a"/>
    <w:link w:val="20"/>
    <w:uiPriority w:val="9"/>
    <w:qFormat/>
    <w:pPr>
      <w:keepNext/>
      <w:jc w:val="center"/>
      <w:outlineLvl w:val="1"/>
    </w:pPr>
    <w:rPr>
      <w:rFonts w:ascii="Times/Kazakh" w:hAnsi="Times/Kazakh"/>
      <w:b/>
      <w:bCs/>
      <w:color w:val="auto"/>
      <w:sz w:val="32"/>
      <w:szCs w:val="32"/>
    </w:rPr>
  </w:style>
  <w:style w:type="paragraph" w:styleId="3">
    <w:name w:val="heading 3"/>
    <w:basedOn w:val="a"/>
    <w:link w:val="30"/>
    <w:uiPriority w:val="9"/>
    <w:qFormat/>
    <w:pPr>
      <w:keepNext/>
      <w:outlineLvl w:val="2"/>
    </w:pPr>
    <w:rPr>
      <w:rFonts w:ascii="Times/Kazakh" w:hAnsi="Times/Kazakh"/>
      <w:color w:val="auto"/>
      <w:sz w:val="32"/>
      <w:szCs w:val="32"/>
    </w:rPr>
  </w:style>
  <w:style w:type="paragraph" w:styleId="4">
    <w:name w:val="heading 4"/>
    <w:basedOn w:val="a"/>
    <w:link w:val="40"/>
    <w:uiPriority w:val="9"/>
    <w:qFormat/>
    <w:pPr>
      <w:keepNext/>
      <w:jc w:val="right"/>
      <w:outlineLvl w:val="3"/>
    </w:pPr>
    <w:rPr>
      <w:rFonts w:ascii="Times/Kazakh" w:hAnsi="Times/Kazakh"/>
      <w:color w:val="auto"/>
    </w:rPr>
  </w:style>
  <w:style w:type="paragraph" w:styleId="6">
    <w:name w:val="heading 6"/>
    <w:basedOn w:val="a"/>
    <w:link w:val="60"/>
    <w:uiPriority w:val="9"/>
    <w:qFormat/>
    <w:pPr>
      <w:keepNext/>
      <w:jc w:val="center"/>
      <w:outlineLvl w:val="5"/>
    </w:pPr>
    <w:rPr>
      <w:rFonts w:ascii="Arial(K)" w:hAnsi="Arial(K)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21">
    <w:name w:val="Body Text 2"/>
    <w:basedOn w:val="a"/>
    <w:link w:val="22"/>
    <w:uiPriority w:val="99"/>
    <w:semiHidden/>
    <w:unhideWhenUsed/>
    <w:pPr>
      <w:jc w:val="both"/>
    </w:pPr>
    <w:rPr>
      <w:rFonts w:ascii="Times/Kazakh" w:hAnsi="Times/Kazakh"/>
      <w:color w:val="auto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autoSpaceDE w:val="0"/>
      <w:autoSpaceDN w:val="0"/>
      <w:jc w:val="both"/>
    </w:pPr>
    <w:rPr>
      <w:rFonts w:ascii="Arial(K)" w:hAnsi="Arial(K)"/>
      <w:color w:val="auto"/>
      <w:sz w:val="18"/>
      <w:szCs w:val="18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pPr>
      <w:autoSpaceDE w:val="0"/>
      <w:autoSpaceDN w:val="0"/>
      <w:ind w:firstLine="397"/>
      <w:jc w:val="both"/>
    </w:pPr>
    <w:rPr>
      <w:rFonts w:ascii="Arial(K)" w:hAnsi="Arial(K)"/>
      <w:color w:val="auto"/>
      <w:sz w:val="18"/>
      <w:szCs w:val="1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B6C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C46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B6C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C4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01601" TargetMode="External"/><Relationship Id="rId18" Type="http://schemas.openxmlformats.org/officeDocument/2006/relationships/hyperlink" Target="http://online.zakon.kz/Document/?doc_id=30013864" TargetMode="External"/><Relationship Id="rId26" Type="http://schemas.openxmlformats.org/officeDocument/2006/relationships/hyperlink" Target="http://online.zakon.kz/Document/?doc_id=30013864" TargetMode="External"/><Relationship Id="rId39" Type="http://schemas.openxmlformats.org/officeDocument/2006/relationships/hyperlink" Target="http://online.zakon.kz/Document/?doc_id=1046604" TargetMode="External"/><Relationship Id="rId21" Type="http://schemas.openxmlformats.org/officeDocument/2006/relationships/hyperlink" Target="http://online.zakon.kz/Document/?doc_id=1046604" TargetMode="External"/><Relationship Id="rId34" Type="http://schemas.openxmlformats.org/officeDocument/2006/relationships/hyperlink" Target="http://online.zakon.kz/Document/?doc_id=30013864" TargetMode="External"/><Relationship Id="rId42" Type="http://schemas.openxmlformats.org/officeDocument/2006/relationships/hyperlink" Target="http://online.zakon.kz/Document/?doc_id=30013864" TargetMode="External"/><Relationship Id="rId47" Type="http://schemas.openxmlformats.org/officeDocument/2006/relationships/hyperlink" Target="http://online.zakon.kz/Document/?doc_id=30011047" TargetMode="External"/><Relationship Id="rId50" Type="http://schemas.openxmlformats.org/officeDocument/2006/relationships/hyperlink" Target="http://online.zakon.kz/Document/?doc_id=1046604" TargetMode="External"/><Relationship Id="rId55" Type="http://schemas.openxmlformats.org/officeDocument/2006/relationships/hyperlink" Target="http://online.zakon.kz/Document/?doc_id=30039219" TargetMode="External"/><Relationship Id="rId63" Type="http://schemas.openxmlformats.org/officeDocument/2006/relationships/hyperlink" Target="http://online.zakon.kz/Document/?doc_id=30008590" TargetMode="External"/><Relationship Id="rId68" Type="http://schemas.openxmlformats.org/officeDocument/2006/relationships/footer" Target="footer1.xml"/><Relationship Id="rId7" Type="http://schemas.openxmlformats.org/officeDocument/2006/relationships/hyperlink" Target="http://online.zakon.kz/Document/?doc_id=30013864" TargetMode="External"/><Relationship Id="rId71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13864" TargetMode="External"/><Relationship Id="rId29" Type="http://schemas.openxmlformats.org/officeDocument/2006/relationships/hyperlink" Target="http://online.zakon.kz/Document/?doc_id=30015058" TargetMode="External"/><Relationship Id="rId11" Type="http://schemas.openxmlformats.org/officeDocument/2006/relationships/hyperlink" Target="http://online.zakon.kz/Document/?doc_id=30013864" TargetMode="External"/><Relationship Id="rId24" Type="http://schemas.openxmlformats.org/officeDocument/2006/relationships/hyperlink" Target="http://online.zakon.kz/Document/?doc_id=1046604" TargetMode="External"/><Relationship Id="rId32" Type="http://schemas.openxmlformats.org/officeDocument/2006/relationships/hyperlink" Target="http://online.zakon.kz/Document/?doc_id=30013864" TargetMode="External"/><Relationship Id="rId37" Type="http://schemas.openxmlformats.org/officeDocument/2006/relationships/hyperlink" Target="http://online.zakon.kz/Document/?doc_id=30013864" TargetMode="External"/><Relationship Id="rId40" Type="http://schemas.openxmlformats.org/officeDocument/2006/relationships/hyperlink" Target="http://online.zakon.kz/Document/?doc_id=30013864" TargetMode="External"/><Relationship Id="rId45" Type="http://schemas.openxmlformats.org/officeDocument/2006/relationships/hyperlink" Target="http://online.zakon.kz/Document/?doc_id=30011047" TargetMode="External"/><Relationship Id="rId53" Type="http://schemas.openxmlformats.org/officeDocument/2006/relationships/hyperlink" Target="http://online.zakon.kz/Document/?doc_id=30005597" TargetMode="External"/><Relationship Id="rId58" Type="http://schemas.openxmlformats.org/officeDocument/2006/relationships/hyperlink" Target="http://online.zakon.kz/Document/?doc_id=30001601" TargetMode="External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01847" TargetMode="External"/><Relationship Id="rId23" Type="http://schemas.openxmlformats.org/officeDocument/2006/relationships/hyperlink" Target="http://online.zakon.kz/Document/?doc_id=1046604" TargetMode="External"/><Relationship Id="rId28" Type="http://schemas.openxmlformats.org/officeDocument/2006/relationships/hyperlink" Target="http://online.zakon.kz/Document/?doc_id=30013864" TargetMode="External"/><Relationship Id="rId36" Type="http://schemas.openxmlformats.org/officeDocument/2006/relationships/hyperlink" Target="http://online.zakon.kz/Document/?doc_id=30013864" TargetMode="External"/><Relationship Id="rId49" Type="http://schemas.openxmlformats.org/officeDocument/2006/relationships/hyperlink" Target="http://online.zakon.kz/Document/?doc_id=30013864" TargetMode="External"/><Relationship Id="rId57" Type="http://schemas.openxmlformats.org/officeDocument/2006/relationships/hyperlink" Target="http://online.zakon.kz/Document/?doc_id=30039248" TargetMode="External"/><Relationship Id="rId61" Type="http://schemas.openxmlformats.org/officeDocument/2006/relationships/hyperlink" Target="http://online.zakon.kz/Document/?doc_id=30008590" TargetMode="External"/><Relationship Id="rId10" Type="http://schemas.openxmlformats.org/officeDocument/2006/relationships/hyperlink" Target="http://online.zakon.kz/Document/?doc_id=30013864" TargetMode="External"/><Relationship Id="rId19" Type="http://schemas.openxmlformats.org/officeDocument/2006/relationships/hyperlink" Target="http://online.zakon.kz/Document/?doc_id=30011047" TargetMode="External"/><Relationship Id="rId31" Type="http://schemas.openxmlformats.org/officeDocument/2006/relationships/hyperlink" Target="http://online.zakon.kz/Document/?doc_id=30013864" TargetMode="External"/><Relationship Id="rId44" Type="http://schemas.openxmlformats.org/officeDocument/2006/relationships/hyperlink" Target="http://online.zakon.kz/Document/?doc_id=30011047" TargetMode="External"/><Relationship Id="rId52" Type="http://schemas.openxmlformats.org/officeDocument/2006/relationships/hyperlink" Target="http://online.zakon.kz/Document/?doc_id=1046706" TargetMode="External"/><Relationship Id="rId60" Type="http://schemas.openxmlformats.org/officeDocument/2006/relationships/hyperlink" Target="http://online.zakon.kz/Document/?doc_id=30001567" TargetMode="External"/><Relationship Id="rId65" Type="http://schemas.openxmlformats.org/officeDocument/2006/relationships/hyperlink" Target="http://online.zakon.kz/Document/?doc_id=30039256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13864" TargetMode="External"/><Relationship Id="rId14" Type="http://schemas.openxmlformats.org/officeDocument/2006/relationships/hyperlink" Target="http://online.zakon.kz/Document/?doc_id=30013864" TargetMode="External"/><Relationship Id="rId22" Type="http://schemas.openxmlformats.org/officeDocument/2006/relationships/hyperlink" Target="http://online.zakon.kz/Document/?doc_id=1046604" TargetMode="External"/><Relationship Id="rId27" Type="http://schemas.openxmlformats.org/officeDocument/2006/relationships/hyperlink" Target="http://online.zakon.kz/Document/?doc_id=30039256" TargetMode="External"/><Relationship Id="rId30" Type="http://schemas.openxmlformats.org/officeDocument/2006/relationships/hyperlink" Target="http://online.zakon.kz/Document/?doc_id=30013864" TargetMode="External"/><Relationship Id="rId35" Type="http://schemas.openxmlformats.org/officeDocument/2006/relationships/hyperlink" Target="http://online.zakon.kz/Document/?doc_id=30013864" TargetMode="External"/><Relationship Id="rId43" Type="http://schemas.openxmlformats.org/officeDocument/2006/relationships/hyperlink" Target="http://online.zakon.kz/Document/?doc_id=30013864" TargetMode="External"/><Relationship Id="rId48" Type="http://schemas.openxmlformats.org/officeDocument/2006/relationships/hyperlink" Target="http://online.zakon.kz/Document/?doc_id=30008590" TargetMode="External"/><Relationship Id="rId56" Type="http://schemas.openxmlformats.org/officeDocument/2006/relationships/hyperlink" Target="http://online.zakon.kz/Document/?doc_id=30040248" TargetMode="External"/><Relationship Id="rId64" Type="http://schemas.openxmlformats.org/officeDocument/2006/relationships/hyperlink" Target="http://online.zakon.kz/Document/?doc_id=30015058" TargetMode="External"/><Relationship Id="rId69" Type="http://schemas.openxmlformats.org/officeDocument/2006/relationships/footer" Target="footer2.xml"/><Relationship Id="rId8" Type="http://schemas.openxmlformats.org/officeDocument/2006/relationships/hyperlink" Target="http://online.zakon.kz/Document/?doc_id=30013864" TargetMode="External"/><Relationship Id="rId51" Type="http://schemas.openxmlformats.org/officeDocument/2006/relationships/hyperlink" Target="http://online.zakon.kz/Document/?doc_id=30005587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13864" TargetMode="External"/><Relationship Id="rId17" Type="http://schemas.openxmlformats.org/officeDocument/2006/relationships/hyperlink" Target="http://online.zakon.kz/Document/?doc_id=30011047" TargetMode="External"/><Relationship Id="rId25" Type="http://schemas.openxmlformats.org/officeDocument/2006/relationships/hyperlink" Target="http://online.zakon.kz/Document/?doc_id=30001567" TargetMode="External"/><Relationship Id="rId33" Type="http://schemas.openxmlformats.org/officeDocument/2006/relationships/hyperlink" Target="http://online.zakon.kz/Document/?doc_id=1046604" TargetMode="External"/><Relationship Id="rId38" Type="http://schemas.openxmlformats.org/officeDocument/2006/relationships/hyperlink" Target="http://online.zakon.kz/Document/?doc_id=1046604" TargetMode="External"/><Relationship Id="rId46" Type="http://schemas.openxmlformats.org/officeDocument/2006/relationships/hyperlink" Target="http://online.zakon.kz/Document/?doc_id=30011047" TargetMode="External"/><Relationship Id="rId59" Type="http://schemas.openxmlformats.org/officeDocument/2006/relationships/hyperlink" Target="http://online.zakon.kz/Document/?doc_id=30001847" TargetMode="External"/><Relationship Id="rId67" Type="http://schemas.openxmlformats.org/officeDocument/2006/relationships/header" Target="header2.xml"/><Relationship Id="rId20" Type="http://schemas.openxmlformats.org/officeDocument/2006/relationships/hyperlink" Target="http://online.zakon.kz/Document/?doc_id=1046604" TargetMode="External"/><Relationship Id="rId41" Type="http://schemas.openxmlformats.org/officeDocument/2006/relationships/hyperlink" Target="http://online.zakon.kz/Document/?doc_id=30013864" TargetMode="External"/><Relationship Id="rId54" Type="http://schemas.openxmlformats.org/officeDocument/2006/relationships/hyperlink" Target="http://online.zakon.kz/Document/?doc_id=30002433" TargetMode="External"/><Relationship Id="rId62" Type="http://schemas.openxmlformats.org/officeDocument/2006/relationships/hyperlink" Target="http://online.zakon.kz/Document/?doc_id=30011047" TargetMode="External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138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2424</Words>
  <Characters>19885</Characters>
  <Application>Microsoft Office Word</Application>
  <DocSecurity>0</DocSecurity>
  <Lines>165</Lines>
  <Paragraphs>44</Paragraphs>
  <ScaleCrop>false</ScaleCrop>
  <Company/>
  <LinksUpToDate>false</LinksUpToDate>
  <CharactersWithSpaces>22265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5.03-05-2001 «Инструкция по проектированию монолитных зданий из пенобетонов»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2021-09-03T07:15:00Z</dcterms:created>
  <dcterms:modified xsi:type="dcterms:W3CDTF">2021-09-03T07:15:00Z</dcterms:modified>
</cp:coreProperties>
</file>