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515C2D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5.03-105-2013</w:t>
      </w:r>
      <w:r>
        <w:rPr>
          <w:rStyle w:val="s1"/>
        </w:rPr>
        <w:br/>
      </w:r>
      <w:r>
        <w:rPr>
          <w:rStyle w:val="s1"/>
        </w:rPr>
        <w:br/>
        <w:t>Изготовление изделий из неопорбетона</w:t>
      </w:r>
      <w:r>
        <w:rPr>
          <w:rStyle w:val="s1"/>
        </w:rPr>
        <w:br/>
      </w:r>
      <w:r>
        <w:rPr>
          <w:b/>
          <w:bCs/>
        </w:rPr>
        <w:t> </w:t>
      </w:r>
      <w:r>
        <w:br/>
      </w:r>
      <w:r>
        <w:rPr>
          <w:rStyle w:val="s1"/>
        </w:rPr>
        <w:t>Manufacturing of products from of neoporbeton</w:t>
      </w:r>
    </w:p>
    <w:p w:rsidR="00000000" w:rsidRDefault="00515C2D">
      <w:pPr>
        <w:ind w:firstLine="426"/>
        <w:jc w:val="center"/>
      </w:pPr>
      <w:r>
        <w:t> </w:t>
      </w:r>
    </w:p>
    <w:p w:rsidR="00000000" w:rsidRDefault="00515C2D">
      <w:pPr>
        <w:ind w:firstLine="426"/>
      </w:pPr>
      <w:r>
        <w:rPr>
          <w:b/>
          <w:bCs/>
        </w:rPr>
        <w:t> </w:t>
      </w:r>
    </w:p>
    <w:p w:rsidR="00000000" w:rsidRDefault="00515C2D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515C2D">
      <w:pPr>
        <w:ind w:firstLine="426"/>
        <w:jc w:val="center"/>
      </w:pPr>
      <w:r>
        <w:t> </w:t>
      </w:r>
    </w:p>
    <w:p w:rsidR="00000000" w:rsidRDefault="00515C2D">
      <w:pPr>
        <w:ind w:firstLine="426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515C2D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515C2D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515C2D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515C2D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РЕШЕНИЯ</w:t>
        </w:r>
      </w:hyperlink>
    </w:p>
    <w:p w:rsidR="00000000" w:rsidRDefault="00515C2D">
      <w:pPr>
        <w:ind w:firstLine="426"/>
        <w:jc w:val="both"/>
      </w:pPr>
      <w:hyperlink r:id="rId11" w:anchor="sub_id=400" w:history="1">
        <w:r>
          <w:rPr>
            <w:rStyle w:val="a3"/>
            <w:color w:val="0000FF"/>
            <w:u w:val="single"/>
          </w:rPr>
          <w:t>4.1 Общие положения</w:t>
        </w:r>
      </w:hyperlink>
    </w:p>
    <w:p w:rsidR="00000000" w:rsidRDefault="00515C2D">
      <w:pPr>
        <w:ind w:firstLine="426"/>
        <w:jc w:val="both"/>
      </w:pPr>
      <w:hyperlink r:id="rId12" w:anchor="sub_id=402" w:history="1">
        <w:r>
          <w:rPr>
            <w:rStyle w:val="a3"/>
            <w:color w:val="0000FF"/>
            <w:u w:val="single"/>
          </w:rPr>
          <w:t>4.2 Классификация н</w:t>
        </w:r>
        <w:r>
          <w:rPr>
            <w:rStyle w:val="a3"/>
            <w:color w:val="0000FF"/>
            <w:u w:val="single"/>
          </w:rPr>
          <w:t>еопорбетона</w:t>
        </w:r>
      </w:hyperlink>
    </w:p>
    <w:p w:rsidR="00000000" w:rsidRDefault="00515C2D">
      <w:pPr>
        <w:ind w:firstLine="426"/>
        <w:jc w:val="both"/>
      </w:pPr>
      <w:hyperlink r:id="rId13" w:anchor="sub_id=403" w:history="1">
        <w:r>
          <w:rPr>
            <w:rStyle w:val="a3"/>
            <w:color w:val="0000FF"/>
            <w:u w:val="single"/>
          </w:rPr>
          <w:t>4.3 Технические характеристики неопорбетона</w:t>
        </w:r>
      </w:hyperlink>
    </w:p>
    <w:p w:rsidR="00000000" w:rsidRDefault="00515C2D">
      <w:pPr>
        <w:ind w:firstLine="426"/>
        <w:jc w:val="both"/>
      </w:pPr>
      <w:hyperlink r:id="rId14" w:anchor="sub_id=404" w:history="1">
        <w:r>
          <w:rPr>
            <w:rStyle w:val="a3"/>
            <w:color w:val="0000FF"/>
            <w:u w:val="single"/>
          </w:rPr>
          <w:t>4.4 Материалы для изготовления неопорб</w:t>
        </w:r>
        <w:r>
          <w:rPr>
            <w:rStyle w:val="a3"/>
            <w:color w:val="0000FF"/>
            <w:u w:val="single"/>
          </w:rPr>
          <w:t>етона</w:t>
        </w:r>
      </w:hyperlink>
    </w:p>
    <w:p w:rsidR="00000000" w:rsidRDefault="00515C2D">
      <w:pPr>
        <w:ind w:firstLine="426"/>
        <w:jc w:val="both"/>
      </w:pPr>
      <w:hyperlink r:id="rId15" w:anchor="sub_id=405" w:history="1">
        <w:r>
          <w:rPr>
            <w:rStyle w:val="a3"/>
            <w:color w:val="0000FF"/>
            <w:u w:val="single"/>
          </w:rPr>
          <w:t>4.5 Подбор состава неопорбетона</w:t>
        </w:r>
      </w:hyperlink>
    </w:p>
    <w:p w:rsidR="00000000" w:rsidRDefault="00515C2D">
      <w:pPr>
        <w:ind w:firstLine="426"/>
        <w:jc w:val="both"/>
      </w:pPr>
      <w:hyperlink r:id="rId16" w:anchor="sub_id=406" w:history="1">
        <w:r>
          <w:rPr>
            <w:rStyle w:val="a3"/>
            <w:color w:val="0000FF"/>
            <w:u w:val="single"/>
          </w:rPr>
          <w:t>4.6 Приготовление пены</w:t>
        </w:r>
      </w:hyperlink>
    </w:p>
    <w:p w:rsidR="00000000" w:rsidRDefault="00515C2D">
      <w:pPr>
        <w:ind w:firstLine="426"/>
        <w:jc w:val="both"/>
      </w:pPr>
      <w:hyperlink r:id="rId17" w:anchor="sub_id=407" w:history="1">
        <w:r>
          <w:rPr>
            <w:rStyle w:val="a3"/>
            <w:color w:val="0000FF"/>
            <w:u w:val="single"/>
          </w:rPr>
          <w:t>4.7 Приготовление неопорбетонной смеси</w:t>
        </w:r>
      </w:hyperlink>
    </w:p>
    <w:p w:rsidR="00000000" w:rsidRDefault="00515C2D">
      <w:pPr>
        <w:ind w:firstLine="426"/>
        <w:jc w:val="both"/>
      </w:pPr>
      <w:hyperlink r:id="rId18" w:anchor="sub_id=408" w:history="1">
        <w:r>
          <w:rPr>
            <w:rStyle w:val="a3"/>
            <w:color w:val="0000FF"/>
            <w:u w:val="single"/>
          </w:rPr>
          <w:t>4.8 Армирование</w:t>
        </w:r>
      </w:hyperlink>
    </w:p>
    <w:p w:rsidR="00000000" w:rsidRDefault="00515C2D">
      <w:pPr>
        <w:ind w:firstLine="426"/>
        <w:jc w:val="both"/>
      </w:pPr>
      <w:hyperlink r:id="rId19" w:anchor="sub_id=409" w:history="1">
        <w:r>
          <w:rPr>
            <w:rStyle w:val="a3"/>
            <w:color w:val="0000FF"/>
            <w:u w:val="single"/>
          </w:rPr>
          <w:t>4.9 Укладка неопорбетонной смеси</w:t>
        </w:r>
      </w:hyperlink>
    </w:p>
    <w:p w:rsidR="00000000" w:rsidRDefault="00515C2D">
      <w:pPr>
        <w:ind w:firstLine="426"/>
        <w:jc w:val="both"/>
      </w:pPr>
      <w:hyperlink r:id="rId20" w:anchor="sub_id=410" w:history="1">
        <w:r>
          <w:rPr>
            <w:rStyle w:val="a3"/>
            <w:color w:val="0000FF"/>
            <w:u w:val="single"/>
          </w:rPr>
          <w:t>4.10 Твердение неопорбетона и уход за ним</w:t>
        </w:r>
      </w:hyperlink>
    </w:p>
    <w:p w:rsidR="00000000" w:rsidRDefault="00515C2D">
      <w:pPr>
        <w:ind w:firstLine="426"/>
        <w:jc w:val="both"/>
      </w:pPr>
      <w:hyperlink r:id="rId21" w:anchor="sub_id=411" w:history="1">
        <w:r>
          <w:rPr>
            <w:rStyle w:val="a3"/>
            <w:color w:val="0000FF"/>
            <w:u w:val="single"/>
          </w:rPr>
          <w:t>4.11 Бетонирование в особых условиях</w:t>
        </w:r>
      </w:hyperlink>
    </w:p>
    <w:p w:rsidR="00000000" w:rsidRDefault="00515C2D">
      <w:pPr>
        <w:ind w:firstLine="426"/>
        <w:jc w:val="both"/>
      </w:pPr>
      <w:hyperlink r:id="rId22" w:anchor="sub_id=411" w:history="1">
        <w:r>
          <w:rPr>
            <w:rStyle w:val="a3"/>
            <w:color w:val="0000FF"/>
            <w:u w:val="single"/>
          </w:rPr>
          <w:t>4.11.1 Бетонные работы в зимних условиях</w:t>
        </w:r>
      </w:hyperlink>
    </w:p>
    <w:p w:rsidR="00000000" w:rsidRDefault="00515C2D">
      <w:pPr>
        <w:ind w:firstLine="426"/>
        <w:jc w:val="both"/>
      </w:pPr>
      <w:hyperlink r:id="rId23" w:anchor="sub_id=41102" w:history="1">
        <w:r>
          <w:rPr>
            <w:rStyle w:val="a3"/>
            <w:color w:val="0000FF"/>
            <w:u w:val="single"/>
          </w:rPr>
          <w:t>4.11.2 Бетонны</w:t>
        </w:r>
        <w:r>
          <w:rPr>
            <w:rStyle w:val="a3"/>
            <w:color w:val="0000FF"/>
            <w:u w:val="single"/>
          </w:rPr>
          <w:t>е работы в сухую жаркую погоду</w:t>
        </w:r>
      </w:hyperlink>
    </w:p>
    <w:p w:rsidR="00000000" w:rsidRDefault="00515C2D">
      <w:pPr>
        <w:ind w:firstLine="426"/>
        <w:jc w:val="both"/>
      </w:pPr>
      <w:hyperlink r:id="rId24" w:anchor="sub_id=412" w:history="1">
        <w:r>
          <w:rPr>
            <w:rStyle w:val="a3"/>
            <w:color w:val="0000FF"/>
            <w:u w:val="single"/>
          </w:rPr>
          <w:t>4.12 Методы контроля производства изделий из неопорбетона</w:t>
        </w:r>
      </w:hyperlink>
    </w:p>
    <w:p w:rsidR="00000000" w:rsidRDefault="00515C2D">
      <w:pPr>
        <w:ind w:firstLine="426"/>
        <w:jc w:val="both"/>
      </w:pPr>
      <w:hyperlink r:id="rId25" w:anchor="sub_id=413" w:history="1">
        <w:r>
          <w:rPr>
            <w:rStyle w:val="a3"/>
            <w:color w:val="0000FF"/>
            <w:u w:val="single"/>
          </w:rPr>
          <w:t xml:space="preserve">4.13 </w:t>
        </w:r>
        <w:r>
          <w:rPr>
            <w:rStyle w:val="a3"/>
            <w:color w:val="0000FF"/>
            <w:u w:val="single"/>
          </w:rPr>
          <w:t>Правила приемки</w:t>
        </w:r>
      </w:hyperlink>
    </w:p>
    <w:p w:rsidR="00000000" w:rsidRDefault="00515C2D">
      <w:pPr>
        <w:ind w:firstLine="426"/>
        <w:jc w:val="both"/>
      </w:pPr>
      <w:hyperlink r:id="rId26" w:anchor="sub_id=414" w:history="1">
        <w:r>
          <w:rPr>
            <w:rStyle w:val="a3"/>
            <w:color w:val="0000FF"/>
            <w:u w:val="single"/>
          </w:rPr>
          <w:t>4.14 Контроль качества неопорбетона и готовых изделий</w:t>
        </w:r>
      </w:hyperlink>
    </w:p>
    <w:p w:rsidR="00000000" w:rsidRDefault="00515C2D">
      <w:pPr>
        <w:ind w:firstLine="426"/>
        <w:jc w:val="both"/>
      </w:pPr>
      <w:hyperlink r:id="rId27" w:anchor="sub_id=500" w:history="1">
        <w:r>
          <w:rPr>
            <w:rStyle w:val="a3"/>
            <w:color w:val="0000FF"/>
            <w:u w:val="single"/>
          </w:rPr>
          <w:t>5. ТРЕБОВАНИЯ БЕЗОПАСНОСТИ ПРОИЗВОДСТВА, ОХРАНА ТРУДА И ОКРУЖАЮЩЕЙ СРЕДЫ</w:t>
        </w:r>
      </w:hyperlink>
    </w:p>
    <w:p w:rsidR="00000000" w:rsidRDefault="00515C2D">
      <w:pPr>
        <w:ind w:firstLine="426"/>
        <w:jc w:val="both"/>
      </w:pPr>
      <w:hyperlink r:id="rId28" w:anchor="sub_id=600" w:history="1">
        <w:r>
          <w:rPr>
            <w:rStyle w:val="a3"/>
            <w:color w:val="0000FF"/>
            <w:u w:val="single"/>
          </w:rPr>
          <w:t>6. ЭНЕРГОСБЕРЕЖЕНИЕ И</w:t>
        </w:r>
        <w:r>
          <w:rPr>
            <w:rStyle w:val="a3"/>
            <w:color w:val="0000FF"/>
            <w:u w:val="single"/>
          </w:rPr>
          <w:t xml:space="preserve"> РАЦИОНАЛЬНОЕ ИСПОЛЬЗОВАНИЕ ПРИРОДНЫХ РЕСУРСОВ ПРИ ИЗГОТОВЛЕНИИ ИЗДЕЛИЙ ИЗ НЕОПОРБЕТОНА</w:t>
        </w:r>
      </w:hyperlink>
    </w:p>
    <w:p w:rsidR="00000000" w:rsidRDefault="00515C2D">
      <w:pPr>
        <w:ind w:firstLine="426"/>
        <w:jc w:val="both"/>
      </w:pPr>
      <w:hyperlink r:id="rId29" w:anchor="sub_id=1" w:history="1">
        <w:r>
          <w:rPr>
            <w:rStyle w:val="a3"/>
            <w:color w:val="0000FF"/>
            <w:u w:val="single"/>
          </w:rPr>
          <w:t xml:space="preserve">Приложение А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Коэффициент теплопроводности неопорбетонов равновесной вла</w:t>
        </w:r>
        <w:r>
          <w:rPr>
            <w:rStyle w:val="a3"/>
            <w:color w:val="0000FF"/>
            <w:u w:val="single"/>
          </w:rPr>
          <w:t>жности</w:t>
        </w:r>
      </w:hyperlink>
    </w:p>
    <w:p w:rsidR="00000000" w:rsidRDefault="00515C2D">
      <w:pPr>
        <w:ind w:firstLine="426"/>
        <w:jc w:val="both"/>
      </w:pPr>
      <w:hyperlink r:id="rId30" w:anchor="sub_id=2" w:history="1">
        <w:r>
          <w:rPr>
            <w:rStyle w:val="a3"/>
            <w:color w:val="0000FF"/>
            <w:u w:val="single"/>
          </w:rPr>
          <w:t xml:space="preserve">Приложение Б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Настройка пеногенератора</w:t>
        </w:r>
      </w:hyperlink>
    </w:p>
    <w:p w:rsidR="00000000" w:rsidRDefault="00515C2D">
      <w:pPr>
        <w:ind w:firstLine="426"/>
        <w:jc w:val="both"/>
      </w:pPr>
      <w:hyperlink r:id="rId31" w:anchor="sub_id=3" w:history="1">
        <w:r>
          <w:rPr>
            <w:rStyle w:val="a3"/>
            <w:color w:val="0000FF"/>
            <w:u w:val="single"/>
          </w:rPr>
          <w:t xml:space="preserve">Приложение В </w:t>
        </w:r>
        <w:r>
          <w:rPr>
            <w:rStyle w:val="a3"/>
            <w:i/>
            <w:iCs/>
            <w:color w:val="0000FF"/>
            <w:u w:val="single"/>
          </w:rPr>
          <w:t xml:space="preserve">(информационное). </w:t>
        </w:r>
        <w:r>
          <w:rPr>
            <w:rStyle w:val="a3"/>
            <w:color w:val="0000FF"/>
            <w:u w:val="single"/>
          </w:rPr>
          <w:t>Опре</w:t>
        </w:r>
        <w:r>
          <w:rPr>
            <w:rStyle w:val="a3"/>
            <w:color w:val="0000FF"/>
            <w:u w:val="single"/>
          </w:rPr>
          <w:t>деление пластической прочности сырца</w:t>
        </w:r>
      </w:hyperlink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jc w:val="center"/>
      </w:pPr>
      <w:r>
        <w:rPr>
          <w:rStyle w:val="s1"/>
        </w:rPr>
        <w:t>ВВЕДЕНИЕ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В 1991 году Казахстан приобрел технологию ячеистого бетона у компании «NEOPOR SYSTEM GmbH», ФРГ, подписано лицензионное соглашение по производству пенообразователя и оборудования в Казахстане (</w:t>
      </w:r>
      <w:hyperlink r:id="rId32" w:history="1">
        <w:r>
          <w:rPr>
            <w:rStyle w:val="a3"/>
            <w:color w:val="0000FF"/>
            <w:u w:val="single"/>
          </w:rPr>
          <w:t>http://www.neopor.com/en/chronicle.htm</w:t>
        </w:r>
      </w:hyperlink>
      <w:r>
        <w:t>).</w:t>
      </w:r>
    </w:p>
    <w:p w:rsidR="00000000" w:rsidRDefault="00515C2D">
      <w:pPr>
        <w:ind w:firstLine="426"/>
        <w:jc w:val="both"/>
      </w:pPr>
      <w:r>
        <w:t>Разработка свода правил «Изготовление изделий из неопорбетона» осуществлена на основе имеющихся материалов, нормативных документов, Рекомендаций и Руководств, принятых в Р</w:t>
      </w:r>
      <w:r>
        <w:t>еспублике Казахстан и на территории стран СНГ, и на основе материалов, представленных фирмой «NEOPOR SYSTEM GmbH», а также по рекомендациям по приготовлению и укладке ячеистого бетона «УНИПОР» (лицензионное производство Казахстана).</w:t>
      </w:r>
    </w:p>
    <w:p w:rsidR="00000000" w:rsidRDefault="00515C2D">
      <w:pPr>
        <w:ind w:firstLine="426"/>
        <w:jc w:val="both"/>
      </w:pPr>
      <w:r>
        <w:t>Свод правил рекомендует</w:t>
      </w:r>
      <w:r>
        <w:t xml:space="preserve"> приемлемые решения по изготовлению изделий из неопорбетона, в результате выполнения которых будут реализованы базовые требования </w:t>
      </w:r>
      <w:hyperlink r:id="rId33" w:history="1">
        <w:r>
          <w:rPr>
            <w:rStyle w:val="a3"/>
            <w:color w:val="0000FF"/>
            <w:u w:val="single"/>
          </w:rPr>
          <w:t>технического регламента</w:t>
        </w:r>
      </w:hyperlink>
      <w:r>
        <w:t xml:space="preserve"> «Требования к безопасности зданий и с</w:t>
      </w:r>
      <w:r>
        <w:t>ооружений, строительных материалов и изделий», утвержденным постановлением Правительства Республики Казахстан от 17 ноября 2010 года № 1202.</w:t>
      </w:r>
    </w:p>
    <w:p w:rsidR="00000000" w:rsidRDefault="00515C2D">
      <w:pPr>
        <w:ind w:firstLine="426"/>
        <w:jc w:val="both"/>
      </w:pPr>
      <w:r>
        <w:t>Свод правил не является единственным способом выполнения требований, устанавливаемых техническим регламентом «Требо</w:t>
      </w:r>
      <w:r>
        <w:t>вания к безопасности зданий и сооружений, строительных материалов и изделий».</w:t>
      </w:r>
    </w:p>
    <w:p w:rsidR="00000000" w:rsidRDefault="00515C2D">
      <w:pPr>
        <w:ind w:firstLine="426"/>
        <w:jc w:val="both"/>
      </w:pPr>
      <w:r>
        <w:t xml:space="preserve">При разработке настоящего свода правил проанализированы результаты современных научно-технических исследований, передовой отечественный и зарубежный опыт производства, проведены </w:t>
      </w:r>
      <w:r>
        <w:t>работы по гармонизации данного документа с межгосударственными нормативными, международными и национальными нормативно-техническими документами.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1. ОБЛАСТЬ ПРИМЕНЕНИЯ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 xml:space="preserve">1.1 Настоящий свод правил распространяется на изготовление изделий из неопорбетона </w:t>
      </w:r>
      <w:r>
        <w:t>в заводских условиях.</w:t>
      </w:r>
    </w:p>
    <w:p w:rsidR="00000000" w:rsidRDefault="00515C2D">
      <w:pPr>
        <w:ind w:firstLine="426"/>
        <w:jc w:val="both"/>
      </w:pPr>
      <w:r>
        <w:t>Армированные и неармированные изделия из неопорбетона предназначены для изготовления ограждающих конструкций зданий повышенного уровня теплозащиты, устройства перекрытий и покрытий, теплоизоляции чердачных перекрытий, подстилающего сл</w:t>
      </w:r>
      <w:r>
        <w:t>оя и стяжки полов, звукоизоляции перекрытий, стен и перегородок.</w:t>
      </w:r>
    </w:p>
    <w:p w:rsidR="00000000" w:rsidRDefault="00515C2D">
      <w:pPr>
        <w:ind w:firstLine="426"/>
        <w:jc w:val="both"/>
      </w:pPr>
      <w:r>
        <w:t>1.2 Неопорбетон в равной степени пригоден как для заливки бетонных конструкций непосредственно на строительной площадке, так и для производства сборных элементов на полигонах и заводах железо</w:t>
      </w:r>
      <w:r>
        <w:t>бетонных изделий, твердеющих в естественных условиях и с тепловой обработкой.</w:t>
      </w:r>
    </w:p>
    <w:p w:rsidR="00000000" w:rsidRDefault="00515C2D">
      <w:pPr>
        <w:ind w:firstLine="426"/>
        <w:jc w:val="both"/>
      </w:pPr>
      <w:r>
        <w:t>1.3 Приемлемые решения настоящего свода правил распространяются на изделия и конструкции из неопорбетона для жилых, общественных, административных и производственных зданий.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2. НОРМАТИВНЫЕ ССЫЛКИ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515C2D">
      <w:pPr>
        <w:ind w:firstLine="426"/>
        <w:jc w:val="both"/>
      </w:pPr>
      <w:hyperlink r:id="rId34" w:history="1">
        <w:r>
          <w:rPr>
            <w:rStyle w:val="a3"/>
            <w:color w:val="0000FF"/>
            <w:u w:val="single"/>
          </w:rPr>
          <w:t>СП РК 2.01-101-2013</w:t>
        </w:r>
      </w:hyperlink>
      <w:r>
        <w:t xml:space="preserve"> </w:t>
      </w:r>
      <w:r>
        <w:t>Защита строительных конструкций от коррозии.</w:t>
      </w:r>
    </w:p>
    <w:p w:rsidR="00000000" w:rsidRDefault="00515C2D">
      <w:pPr>
        <w:ind w:firstLine="426"/>
        <w:jc w:val="both"/>
      </w:pPr>
      <w:hyperlink r:id="rId35" w:history="1">
        <w:r>
          <w:rPr>
            <w:rStyle w:val="a3"/>
            <w:color w:val="0000FF"/>
            <w:u w:val="single"/>
          </w:rPr>
          <w:t>СП РК 2.04-107-2013</w:t>
        </w:r>
      </w:hyperlink>
      <w:r>
        <w:t xml:space="preserve"> Строительная теплотехника.</w:t>
      </w:r>
    </w:p>
    <w:p w:rsidR="00000000" w:rsidRDefault="00515C2D">
      <w:pPr>
        <w:ind w:firstLine="426"/>
        <w:jc w:val="both"/>
      </w:pPr>
      <w:hyperlink r:id="rId36" w:history="1">
        <w:r>
          <w:rPr>
            <w:rStyle w:val="a3"/>
            <w:color w:val="0000FF"/>
            <w:u w:val="single"/>
          </w:rPr>
          <w:t>СП РК 3.02-108-2013</w:t>
        </w:r>
      </w:hyperlink>
      <w:r>
        <w:t xml:space="preserve"> Административн</w:t>
      </w:r>
      <w:r>
        <w:t>ые и бытовые здания.</w:t>
      </w:r>
    </w:p>
    <w:p w:rsidR="00000000" w:rsidRDefault="00515C2D">
      <w:pPr>
        <w:ind w:firstLine="426"/>
        <w:jc w:val="both"/>
      </w:pPr>
      <w:hyperlink r:id="rId37" w:history="1">
        <w:r>
          <w:rPr>
            <w:rStyle w:val="a3"/>
            <w:color w:val="0000FF"/>
            <w:u w:val="single"/>
          </w:rPr>
          <w:t>СТ РК 937-92</w:t>
        </w:r>
      </w:hyperlink>
      <w:r>
        <w:t xml:space="preserve"> Конструкции и изделия бетонные и железобетонные сборные. Общие технические условия.</w:t>
      </w:r>
    </w:p>
    <w:p w:rsidR="00000000" w:rsidRDefault="00515C2D">
      <w:pPr>
        <w:ind w:firstLine="426"/>
        <w:jc w:val="both"/>
      </w:pPr>
      <w:hyperlink r:id="rId38" w:history="1">
        <w:r>
          <w:rPr>
            <w:rStyle w:val="a3"/>
            <w:color w:val="0000FF"/>
            <w:u w:val="single"/>
          </w:rPr>
          <w:t>СТ РК 94</w:t>
        </w:r>
        <w:r>
          <w:rPr>
            <w:rStyle w:val="a3"/>
            <w:color w:val="0000FF"/>
            <w:u w:val="single"/>
          </w:rPr>
          <w:t>8-92</w:t>
        </w:r>
      </w:hyperlink>
      <w:r>
        <w:t xml:space="preserve"> Гравий, щебень и песок искусственные пористые.</w:t>
      </w:r>
    </w:p>
    <w:p w:rsidR="00000000" w:rsidRDefault="00515C2D">
      <w:pPr>
        <w:ind w:firstLine="426"/>
        <w:jc w:val="both"/>
      </w:pPr>
      <w:hyperlink r:id="rId39" w:history="1">
        <w:r>
          <w:rPr>
            <w:rStyle w:val="a3"/>
            <w:color w:val="0000FF"/>
            <w:u w:val="single"/>
          </w:rPr>
          <w:t>СТ РК EN 197-1-2011</w:t>
        </w:r>
      </w:hyperlink>
      <w:r>
        <w:t xml:space="preserve"> Цемент. Часть 1. Состав, спецификации и критерии соответствия для обычных цементов.</w:t>
      </w:r>
    </w:p>
    <w:p w:rsidR="00000000" w:rsidRDefault="00515C2D">
      <w:pPr>
        <w:ind w:firstLine="426"/>
        <w:jc w:val="both"/>
      </w:pPr>
      <w:hyperlink r:id="rId40" w:history="1">
        <w:r>
          <w:rPr>
            <w:rStyle w:val="a3"/>
            <w:color w:val="0000FF"/>
            <w:u w:val="single"/>
          </w:rPr>
          <w:t>СТ РК EN 10080-2011</w:t>
        </w:r>
      </w:hyperlink>
      <w:r>
        <w:t xml:space="preserve"> Арматура для железобетонных конструкций. Сварная арматура. Общие положения.</w:t>
      </w:r>
    </w:p>
    <w:p w:rsidR="00000000" w:rsidRDefault="00515C2D">
      <w:pPr>
        <w:ind w:firstLine="426"/>
        <w:jc w:val="both"/>
      </w:pPr>
      <w:r>
        <w:t>СТ РК EN 12350-6-2012 Испытание бетонной свежеприготовленной смеси. Часть 6. Плотность.</w:t>
      </w:r>
    </w:p>
    <w:p w:rsidR="00000000" w:rsidRDefault="00515C2D">
      <w:pPr>
        <w:ind w:firstLine="426"/>
        <w:jc w:val="both"/>
      </w:pPr>
      <w:r>
        <w:t>СТ РК EN 12350-7-2012 Испытание бетонной с</w:t>
      </w:r>
      <w:r>
        <w:t>вежеприготовленной смеси. Часть 7. Содержание воздуха. Методы определения под давлением.</w:t>
      </w:r>
    </w:p>
    <w:p w:rsidR="00000000" w:rsidRDefault="00515C2D">
      <w:pPr>
        <w:ind w:firstLine="426"/>
        <w:jc w:val="both"/>
      </w:pPr>
      <w:r>
        <w:t>СТ РК EN 12390-1-2011 Испытание затвердевшего бетона.</w:t>
      </w:r>
    </w:p>
    <w:p w:rsidR="00000000" w:rsidRDefault="00515C2D">
      <w:pPr>
        <w:ind w:firstLine="426"/>
        <w:jc w:val="both"/>
      </w:pPr>
      <w:hyperlink r:id="rId41" w:history="1">
        <w:r>
          <w:rPr>
            <w:rStyle w:val="a3"/>
            <w:color w:val="0000FF"/>
            <w:u w:val="single"/>
          </w:rPr>
          <w:t>СТ РК ISO 12439-2012</w:t>
        </w:r>
      </w:hyperlink>
      <w:r>
        <w:t xml:space="preserve"> Вода для приготовления бето</w:t>
      </w:r>
      <w:r>
        <w:t>нных смесей.</w:t>
      </w:r>
    </w:p>
    <w:p w:rsidR="00000000" w:rsidRDefault="00515C2D">
      <w:pPr>
        <w:ind w:firstLine="426"/>
        <w:jc w:val="both"/>
      </w:pPr>
      <w:hyperlink r:id="rId42" w:history="1">
        <w:r>
          <w:rPr>
            <w:rStyle w:val="a3"/>
            <w:color w:val="0000FF"/>
            <w:u w:val="single"/>
          </w:rPr>
          <w:t>СТ РК EN 12504-1-2011</w:t>
        </w:r>
      </w:hyperlink>
      <w:r>
        <w:t xml:space="preserve"> Испытание бетона в конструкциях. Часть 1. Образец бетона, вырезаемый из толщи конструкции. Отбор образцов, исследование и испытание при сжатии.</w:t>
      </w:r>
    </w:p>
    <w:p w:rsidR="00000000" w:rsidRDefault="00515C2D">
      <w:pPr>
        <w:ind w:firstLine="426"/>
        <w:jc w:val="both"/>
      </w:pPr>
      <w:hyperlink r:id="rId43" w:history="1">
        <w:r>
          <w:rPr>
            <w:rStyle w:val="a3"/>
            <w:color w:val="0000FF"/>
            <w:u w:val="single"/>
          </w:rPr>
          <w:t>СТ РК EN 12620-2011</w:t>
        </w:r>
      </w:hyperlink>
      <w:r>
        <w:t xml:space="preserve"> Заполнители для бетона.</w:t>
      </w:r>
    </w:p>
    <w:p w:rsidR="00000000" w:rsidRDefault="00515C2D">
      <w:pPr>
        <w:ind w:firstLine="426"/>
        <w:jc w:val="both"/>
      </w:pPr>
      <w:hyperlink r:id="rId44" w:history="1">
        <w:r>
          <w:rPr>
            <w:rStyle w:val="a3"/>
            <w:color w:val="0000FF"/>
            <w:u w:val="single"/>
          </w:rPr>
          <w:t>ГОСТ 4.212-80</w:t>
        </w:r>
      </w:hyperlink>
      <w:r>
        <w:t xml:space="preserve"> Система показателей качества продукции. Строительство. Бетоны. Номенклатура пока</w:t>
      </w:r>
      <w:r>
        <w:t>зателей.</w:t>
      </w:r>
    </w:p>
    <w:p w:rsidR="00000000" w:rsidRDefault="00515C2D">
      <w:pPr>
        <w:ind w:firstLine="426"/>
        <w:jc w:val="both"/>
      </w:pPr>
      <w:hyperlink r:id="rId45" w:history="1">
        <w:r>
          <w:rPr>
            <w:rStyle w:val="a3"/>
            <w:color w:val="0000FF"/>
            <w:u w:val="single"/>
          </w:rPr>
          <w:t>ГОСТ 12.1.003-83</w:t>
        </w:r>
      </w:hyperlink>
      <w:r>
        <w:t xml:space="preserve"> Система стандартов безопасности труда. Шум. Общие требования безопасности.</w:t>
      </w:r>
    </w:p>
    <w:p w:rsidR="00000000" w:rsidRDefault="00515C2D">
      <w:pPr>
        <w:ind w:firstLine="426"/>
        <w:jc w:val="both"/>
      </w:pPr>
      <w:hyperlink r:id="rId46" w:history="1">
        <w:r>
          <w:rPr>
            <w:rStyle w:val="a3"/>
            <w:color w:val="0000FF"/>
            <w:u w:val="single"/>
          </w:rPr>
          <w:t>ГОСТ 12.1.004-91</w:t>
        </w:r>
      </w:hyperlink>
      <w:r>
        <w:t xml:space="preserve"> Система ст</w:t>
      </w:r>
      <w:r>
        <w:t>андартов безопасности труда. Пожарная безопасность. Общие требования.</w:t>
      </w:r>
    </w:p>
    <w:p w:rsidR="00000000" w:rsidRDefault="00515C2D">
      <w:pPr>
        <w:ind w:firstLine="426"/>
        <w:jc w:val="both"/>
      </w:pPr>
      <w:hyperlink r:id="rId47" w:history="1">
        <w:r>
          <w:rPr>
            <w:rStyle w:val="a3"/>
            <w:color w:val="0000FF"/>
            <w:u w:val="single"/>
          </w:rPr>
          <w:t>ГОСТ 12.1.005-88</w:t>
        </w:r>
      </w:hyperlink>
      <w:r>
        <w:t xml:space="preserve"> Система стандартов безопасности труда. Общие санитарно-гигиенические требования к воздуху рабочей зоны.</w:t>
      </w:r>
    </w:p>
    <w:p w:rsidR="00000000" w:rsidRDefault="00515C2D">
      <w:pPr>
        <w:ind w:firstLine="426"/>
        <w:jc w:val="both"/>
      </w:pPr>
      <w:hyperlink r:id="rId48" w:history="1">
        <w:r>
          <w:rPr>
            <w:rStyle w:val="a3"/>
            <w:color w:val="0000FF"/>
            <w:u w:val="single"/>
          </w:rPr>
          <w:t>ГОСТ 12.1.007-76</w:t>
        </w:r>
      </w:hyperlink>
      <w:r>
        <w:t xml:space="preserve"> Вредные вещества. Классификация и общие требования безопасности.</w:t>
      </w:r>
    </w:p>
    <w:p w:rsidR="00000000" w:rsidRDefault="00515C2D">
      <w:pPr>
        <w:ind w:firstLine="426"/>
        <w:jc w:val="both"/>
      </w:pPr>
      <w:hyperlink r:id="rId49" w:history="1">
        <w:r>
          <w:rPr>
            <w:rStyle w:val="a3"/>
            <w:color w:val="0000FF"/>
            <w:u w:val="single"/>
          </w:rPr>
          <w:t>ГОСТ 12.2.003-91</w:t>
        </w:r>
      </w:hyperlink>
      <w:r>
        <w:t xml:space="preserve"> Система стандартов безопаснос</w:t>
      </w:r>
      <w:r>
        <w:t>ти труда. Оборудование производственное. Общие требования безопасности.</w:t>
      </w:r>
    </w:p>
    <w:p w:rsidR="00000000" w:rsidRDefault="00515C2D">
      <w:pPr>
        <w:ind w:firstLine="426"/>
        <w:jc w:val="both"/>
      </w:pPr>
      <w:hyperlink r:id="rId50" w:history="1">
        <w:r>
          <w:rPr>
            <w:rStyle w:val="a3"/>
            <w:color w:val="0000FF"/>
            <w:u w:val="single"/>
          </w:rPr>
          <w:t>ГОСТ 12.3.002-75</w:t>
        </w:r>
      </w:hyperlink>
      <w:r>
        <w:t xml:space="preserve"> Система стандартов безопасности труда. Процессы производственные. Общие требования безопасности.</w:t>
      </w:r>
    </w:p>
    <w:p w:rsidR="00000000" w:rsidRDefault="00515C2D">
      <w:pPr>
        <w:ind w:firstLine="426"/>
        <w:jc w:val="both"/>
      </w:pPr>
      <w:hyperlink r:id="rId51" w:history="1">
        <w:r>
          <w:rPr>
            <w:rStyle w:val="a3"/>
            <w:color w:val="0000FF"/>
            <w:u w:val="single"/>
          </w:rPr>
          <w:t>ГОСТ 17.2.3.02-78</w:t>
        </w:r>
      </w:hyperlink>
      <w:r>
        <w:t xml:space="preserve"> Охрана природы. Атмосфера. Правила установления допустимых выбросов вредных веществ промышленными предприятиями.</w:t>
      </w:r>
    </w:p>
    <w:p w:rsidR="00000000" w:rsidRDefault="00515C2D">
      <w:pPr>
        <w:ind w:firstLine="426"/>
        <w:jc w:val="both"/>
      </w:pPr>
      <w:hyperlink r:id="rId52" w:history="1">
        <w:r>
          <w:rPr>
            <w:rStyle w:val="a3"/>
            <w:color w:val="0000FF"/>
            <w:u w:val="single"/>
          </w:rPr>
          <w:t>ГОСТ 7473-2010</w:t>
        </w:r>
      </w:hyperlink>
      <w:r>
        <w:t xml:space="preserve"> Смеси бетонные. Технические условия.</w:t>
      </w:r>
    </w:p>
    <w:p w:rsidR="00000000" w:rsidRDefault="00515C2D">
      <w:pPr>
        <w:ind w:firstLine="426"/>
        <w:jc w:val="both"/>
      </w:pPr>
      <w:hyperlink r:id="rId53" w:history="1">
        <w:r>
          <w:rPr>
            <w:rStyle w:val="a3"/>
            <w:color w:val="0000FF"/>
            <w:u w:val="single"/>
          </w:rPr>
          <w:t>ГОСТ 8736-93</w:t>
        </w:r>
      </w:hyperlink>
      <w:r>
        <w:t xml:space="preserve"> Песок для строительных работ. Технические условия.</w:t>
      </w:r>
    </w:p>
    <w:p w:rsidR="00000000" w:rsidRDefault="00515C2D">
      <w:pPr>
        <w:ind w:firstLine="426"/>
        <w:jc w:val="both"/>
      </w:pPr>
      <w:hyperlink r:id="rId54" w:history="1">
        <w:r>
          <w:rPr>
            <w:rStyle w:val="a3"/>
            <w:color w:val="0000FF"/>
            <w:u w:val="single"/>
          </w:rPr>
          <w:t>ГОСТ 8829-</w:t>
        </w:r>
        <w:r>
          <w:rPr>
            <w:rStyle w:val="a3"/>
            <w:color w:val="0000FF"/>
            <w:u w:val="single"/>
          </w:rPr>
          <w:t>94</w:t>
        </w:r>
      </w:hyperlink>
      <w:r>
        <w:t xml:space="preserve"> Изделия строительные железобетонные и бетонные заводского изготовления. Методы испытаний нагружением. Правила оценки прочности, жесткости и трещиностойкости.</w:t>
      </w:r>
    </w:p>
    <w:p w:rsidR="00000000" w:rsidRDefault="00515C2D">
      <w:pPr>
        <w:ind w:firstLine="426"/>
        <w:jc w:val="both"/>
      </w:pPr>
      <w:hyperlink r:id="rId55" w:history="1">
        <w:r>
          <w:rPr>
            <w:rStyle w:val="a3"/>
            <w:color w:val="0000FF"/>
            <w:u w:val="single"/>
          </w:rPr>
          <w:t>ГОСТ 10178-85</w:t>
        </w:r>
      </w:hyperlink>
      <w:r>
        <w:t xml:space="preserve"> Портландцемент и</w:t>
      </w:r>
      <w:r>
        <w:t xml:space="preserve"> шлакопортландцемент. Технические условия.</w:t>
      </w:r>
    </w:p>
    <w:p w:rsidR="00000000" w:rsidRDefault="00515C2D">
      <w:pPr>
        <w:ind w:firstLine="426"/>
        <w:jc w:val="both"/>
      </w:pPr>
      <w:hyperlink r:id="rId56" w:history="1">
        <w:r>
          <w:rPr>
            <w:rStyle w:val="a3"/>
            <w:color w:val="0000FF"/>
            <w:u w:val="single"/>
          </w:rPr>
          <w:t>ГОСТ 10180-2012</w:t>
        </w:r>
      </w:hyperlink>
      <w:r>
        <w:t xml:space="preserve"> Бетоны. Методы определения прочности по контрольным образцам.</w:t>
      </w:r>
    </w:p>
    <w:p w:rsidR="00000000" w:rsidRDefault="00515C2D">
      <w:pPr>
        <w:ind w:firstLine="426"/>
        <w:jc w:val="both"/>
      </w:pPr>
      <w:hyperlink r:id="rId57" w:history="1">
        <w:r>
          <w:rPr>
            <w:rStyle w:val="a3"/>
            <w:color w:val="0000FF"/>
            <w:u w:val="single"/>
          </w:rPr>
          <w:t xml:space="preserve">ГОСТ </w:t>
        </w:r>
        <w:r>
          <w:rPr>
            <w:rStyle w:val="a3"/>
            <w:color w:val="0000FF"/>
            <w:u w:val="single"/>
          </w:rPr>
          <w:t>10922-2012</w:t>
        </w:r>
      </w:hyperlink>
      <w:r>
        <w:t xml:space="preserve"> Арматурные и закладные изделия сварные, соединения сварные арматуры и закладных изделий железобетонных конструкций. Общие технические условия.</w:t>
      </w:r>
    </w:p>
    <w:p w:rsidR="00000000" w:rsidRDefault="00515C2D">
      <w:pPr>
        <w:ind w:firstLine="426"/>
        <w:jc w:val="both"/>
      </w:pPr>
      <w:hyperlink r:id="rId58" w:history="1">
        <w:r>
          <w:rPr>
            <w:rStyle w:val="a3"/>
            <w:color w:val="0000FF"/>
            <w:u w:val="single"/>
          </w:rPr>
          <w:t>ГОСТ 12730.1-78</w:t>
        </w:r>
      </w:hyperlink>
      <w:r>
        <w:t xml:space="preserve"> Бетоны. Методы опреде</w:t>
      </w:r>
      <w:r>
        <w:t>ления плотности.</w:t>
      </w:r>
    </w:p>
    <w:p w:rsidR="00000000" w:rsidRDefault="00515C2D">
      <w:pPr>
        <w:ind w:firstLine="426"/>
        <w:jc w:val="both"/>
      </w:pPr>
      <w:hyperlink r:id="rId59" w:history="1">
        <w:r>
          <w:rPr>
            <w:rStyle w:val="a3"/>
            <w:color w:val="0000FF"/>
            <w:u w:val="single"/>
          </w:rPr>
          <w:t>ГОСТ 12730.2-78</w:t>
        </w:r>
      </w:hyperlink>
      <w:r>
        <w:t xml:space="preserve"> Бетоны. Методы определения влажности.</w:t>
      </w:r>
    </w:p>
    <w:p w:rsidR="00000000" w:rsidRDefault="00515C2D">
      <w:pPr>
        <w:ind w:firstLine="426"/>
        <w:jc w:val="both"/>
      </w:pPr>
      <w:hyperlink r:id="rId60" w:history="1">
        <w:r>
          <w:rPr>
            <w:rStyle w:val="a3"/>
            <w:color w:val="0000FF"/>
            <w:u w:val="single"/>
          </w:rPr>
          <w:t>ГОСТ 12730.4-78</w:t>
        </w:r>
      </w:hyperlink>
      <w:r>
        <w:t xml:space="preserve"> </w:t>
      </w:r>
      <w:r>
        <w:t>Бетоны. Методы определения показателей пористости.</w:t>
      </w:r>
    </w:p>
    <w:p w:rsidR="00000000" w:rsidRDefault="00515C2D">
      <w:pPr>
        <w:ind w:firstLine="426"/>
        <w:jc w:val="both"/>
      </w:pPr>
      <w:hyperlink r:id="rId61" w:history="1">
        <w:r>
          <w:rPr>
            <w:rStyle w:val="a3"/>
            <w:color w:val="0000FF"/>
            <w:u w:val="single"/>
          </w:rPr>
          <w:t>ГОСТ 12865-67</w:t>
        </w:r>
      </w:hyperlink>
      <w:r>
        <w:t xml:space="preserve"> Вермикулит вспученный.</w:t>
      </w:r>
    </w:p>
    <w:p w:rsidR="00000000" w:rsidRDefault="00515C2D">
      <w:pPr>
        <w:ind w:firstLine="426"/>
        <w:jc w:val="both"/>
      </w:pPr>
      <w:hyperlink r:id="rId62" w:history="1">
        <w:r>
          <w:rPr>
            <w:rStyle w:val="a3"/>
            <w:color w:val="0000FF"/>
            <w:u w:val="single"/>
          </w:rPr>
          <w:t>ГОСТ 18105-2010</w:t>
        </w:r>
      </w:hyperlink>
      <w:r>
        <w:t xml:space="preserve"> Бетоны. Правила контро</w:t>
      </w:r>
      <w:r>
        <w:t>ля прочности.</w:t>
      </w:r>
    </w:p>
    <w:p w:rsidR="00000000" w:rsidRDefault="00515C2D">
      <w:pPr>
        <w:ind w:firstLine="426"/>
        <w:jc w:val="both"/>
      </w:pPr>
      <w:hyperlink r:id="rId63" w:history="1">
        <w:r>
          <w:rPr>
            <w:rStyle w:val="a3"/>
            <w:color w:val="0000FF"/>
            <w:u w:val="single"/>
          </w:rPr>
          <w:t>ГОСТ 18321-73</w:t>
        </w:r>
      </w:hyperlink>
      <w:r>
        <w:t xml:space="preserve"> Статистический контроль качества. Методы случайного отбора выборок штучной продукции.</w:t>
      </w:r>
    </w:p>
    <w:p w:rsidR="00000000" w:rsidRDefault="00515C2D">
      <w:pPr>
        <w:ind w:firstLine="426"/>
        <w:jc w:val="both"/>
      </w:pPr>
      <w:hyperlink r:id="rId64" w:history="1">
        <w:r>
          <w:rPr>
            <w:rStyle w:val="a3"/>
            <w:color w:val="0000FF"/>
            <w:u w:val="single"/>
          </w:rPr>
          <w:t>ГОСТ 23732-2</w:t>
        </w:r>
        <w:r>
          <w:rPr>
            <w:rStyle w:val="a3"/>
            <w:color w:val="0000FF"/>
            <w:u w:val="single"/>
          </w:rPr>
          <w:t>011</w:t>
        </w:r>
      </w:hyperlink>
      <w:r>
        <w:t xml:space="preserve"> Вода для бетонов и растворов. Технические условия.</w:t>
      </w:r>
    </w:p>
    <w:p w:rsidR="00000000" w:rsidRDefault="00515C2D">
      <w:pPr>
        <w:ind w:firstLine="426"/>
        <w:jc w:val="both"/>
      </w:pPr>
      <w:hyperlink r:id="rId65" w:history="1">
        <w:r>
          <w:rPr>
            <w:rStyle w:val="a3"/>
            <w:color w:val="0000FF"/>
            <w:u w:val="single"/>
          </w:rPr>
          <w:t>ГОСТ 24211-2008</w:t>
        </w:r>
      </w:hyperlink>
      <w:r>
        <w:t xml:space="preserve"> Добавки для бетонов и строительных растворов. Общие технические условия.</w:t>
      </w:r>
    </w:p>
    <w:p w:rsidR="00000000" w:rsidRDefault="00515C2D">
      <w:pPr>
        <w:ind w:firstLine="426"/>
        <w:jc w:val="both"/>
      </w:pPr>
      <w:hyperlink r:id="rId66" w:history="1">
        <w:r>
          <w:rPr>
            <w:rStyle w:val="a3"/>
            <w:color w:val="0000FF"/>
            <w:u w:val="single"/>
          </w:rPr>
          <w:t>ГОСТ 24452-80</w:t>
        </w:r>
      </w:hyperlink>
      <w:r>
        <w:t xml:space="preserve"> Бетоны. Методы определения призменной прочности, модуля упругости и коэффициента Пуассона.</w:t>
      </w:r>
    </w:p>
    <w:p w:rsidR="00000000" w:rsidRDefault="00515C2D">
      <w:pPr>
        <w:ind w:firstLine="426"/>
        <w:jc w:val="both"/>
      </w:pPr>
      <w:hyperlink r:id="rId67" w:history="1">
        <w:r>
          <w:rPr>
            <w:rStyle w:val="a3"/>
            <w:color w:val="0000FF"/>
            <w:u w:val="single"/>
          </w:rPr>
          <w:t>ГОСТ 25485-89</w:t>
        </w:r>
      </w:hyperlink>
      <w:r>
        <w:t xml:space="preserve"> Бетоны ячеистые. Технические условия.</w:t>
      </w:r>
    </w:p>
    <w:p w:rsidR="00000000" w:rsidRDefault="00515C2D">
      <w:pPr>
        <w:ind w:firstLine="426"/>
        <w:jc w:val="both"/>
      </w:pPr>
      <w:hyperlink r:id="rId68" w:history="1">
        <w:r>
          <w:rPr>
            <w:rStyle w:val="a3"/>
            <w:color w:val="0000FF"/>
            <w:u w:val="single"/>
          </w:rPr>
          <w:t>ГОСТ 25818-91</w:t>
        </w:r>
      </w:hyperlink>
      <w:r>
        <w:t xml:space="preserve"> Золы-уноса тепловых станций для бетонов. Технические условия.</w:t>
      </w:r>
    </w:p>
    <w:p w:rsidR="00000000" w:rsidRDefault="00515C2D">
      <w:pPr>
        <w:ind w:firstLine="426"/>
        <w:jc w:val="both"/>
      </w:pPr>
      <w:hyperlink r:id="rId69" w:history="1">
        <w:r>
          <w:rPr>
            <w:rStyle w:val="a3"/>
            <w:color w:val="0000FF"/>
            <w:u w:val="single"/>
          </w:rPr>
          <w:t>ГОСТ 25898-2012</w:t>
        </w:r>
      </w:hyperlink>
      <w:r>
        <w:t xml:space="preserve"> Материалы и изделия строительные. Методы определен</w:t>
      </w:r>
      <w:r>
        <w:t>ия сопротивления паропроницанию.</w:t>
      </w:r>
    </w:p>
    <w:p w:rsidR="00000000" w:rsidRDefault="00515C2D">
      <w:pPr>
        <w:ind w:firstLine="426"/>
        <w:jc w:val="both"/>
      </w:pPr>
      <w:hyperlink r:id="rId70" w:history="1">
        <w:r>
          <w:rPr>
            <w:rStyle w:val="a3"/>
            <w:color w:val="0000FF"/>
            <w:u w:val="single"/>
          </w:rPr>
          <w:t>ГОСТ 27005-86</w:t>
        </w:r>
      </w:hyperlink>
      <w:r>
        <w:t xml:space="preserve"> Бетоны легкие и ячеистые. Правила контроля средней плотности.</w:t>
      </w:r>
    </w:p>
    <w:p w:rsidR="00000000" w:rsidRDefault="00515C2D">
      <w:pPr>
        <w:ind w:firstLine="426"/>
        <w:jc w:val="both"/>
      </w:pPr>
      <w:hyperlink r:id="rId71" w:history="1">
        <w:r>
          <w:rPr>
            <w:rStyle w:val="a3"/>
            <w:color w:val="0000FF"/>
            <w:u w:val="single"/>
          </w:rPr>
          <w:t>ГОСТ 27006-86</w:t>
        </w:r>
      </w:hyperlink>
      <w:r>
        <w:t xml:space="preserve"> Бетоны. Правила подбора состава.</w:t>
      </w:r>
    </w:p>
    <w:p w:rsidR="00000000" w:rsidRDefault="00515C2D">
      <w:pPr>
        <w:ind w:firstLine="426"/>
        <w:jc w:val="both"/>
      </w:pPr>
      <w:hyperlink r:id="rId72" w:history="1">
        <w:r>
          <w:rPr>
            <w:rStyle w:val="a3"/>
            <w:color w:val="0000FF"/>
            <w:u w:val="single"/>
          </w:rPr>
          <w:t>ГОСТ 30108-94</w:t>
        </w:r>
      </w:hyperlink>
      <w:r>
        <w:t xml:space="preserve"> Материалы и изделия строительные. Определение удельной эффективной активности естественных радионуклидов.</w:t>
      </w:r>
    </w:p>
    <w:p w:rsidR="00000000" w:rsidRDefault="00515C2D">
      <w:pPr>
        <w:ind w:firstLine="426"/>
        <w:jc w:val="both"/>
      </w:pPr>
      <w:hyperlink r:id="rId73" w:history="1">
        <w:r>
          <w:rPr>
            <w:rStyle w:val="a3"/>
            <w:color w:val="0000FF"/>
            <w:u w:val="single"/>
          </w:rPr>
          <w:t>ГОСТ 30244-94</w:t>
        </w:r>
      </w:hyperlink>
      <w:r>
        <w:t xml:space="preserve"> Материалы строительные. Методы испытаний на горючесть.</w:t>
      </w:r>
    </w:p>
    <w:p w:rsidR="00000000" w:rsidRDefault="00515C2D">
      <w:pPr>
        <w:ind w:firstLine="426"/>
        <w:jc w:val="both"/>
      </w:pPr>
      <w:hyperlink r:id="rId74" w:history="1">
        <w:r>
          <w:rPr>
            <w:rStyle w:val="a3"/>
            <w:color w:val="0000FF"/>
            <w:u w:val="single"/>
          </w:rPr>
          <w:t>ГОСТ 31108-2003</w:t>
        </w:r>
      </w:hyperlink>
      <w:r>
        <w:t xml:space="preserve"> Цементы общестроительные. Технические условия.</w:t>
      </w:r>
    </w:p>
    <w:p w:rsidR="00000000" w:rsidRDefault="00515C2D">
      <w:pPr>
        <w:ind w:firstLine="426"/>
        <w:jc w:val="both"/>
      </w:pPr>
      <w:r>
        <w:t>Примечание. При поль</w:t>
      </w:r>
      <w:r>
        <w:t>зовании целесообразно проверить действие ссылочных документов по информационным каталогам: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</w:t>
      </w:r>
      <w:r>
        <w:t>», «Указатель нормативных документов по стандартизации Республики Казахстан» и «Указатель межгосударственных нормативных документов по стандартизации Республики Казахстан», составляемых ежегодно по состоянию на текущий год и соответствующим ежемесячно изда</w:t>
      </w:r>
      <w:r>
        <w:t xml:space="preserve">ваемым информационным бюллетеням-журналам и указателям, опубликованным в текущем году.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</w:t>
      </w:r>
      <w:r>
        <w:t>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3. ТЕРМИНЫ И ОПРЕДЕЛЕНИЯ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В настоящем своде правил применены следующие термины с соответствующими определениями :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3.1Свод правил: </w:t>
      </w:r>
      <w:r>
        <w:t>Докуме</w:t>
      </w:r>
      <w:r>
        <w:t>нт, рекомендующий технические правила или процедуры проектирования, изготовления, монтажа, технического обслуживания или эксплуатации оборудования, конструкций или изделий.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3.2Метод приемлемых решений: </w:t>
      </w:r>
      <w:r>
        <w:t>Средство соблюдения параметрических норм, которое подр</w:t>
      </w:r>
      <w:r>
        <w:t>азумевает применение существующих, как правило, предписывающих нормативных требований, одобренных уполномоченным органом по делам архитектуры, градостроительства и строительства.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3.3Неопорбетон: </w:t>
      </w:r>
      <w:r>
        <w:t>Искусственный пористый материал, с характерной равномерно рас</w:t>
      </w:r>
      <w:r>
        <w:t>пределенной мелкодисперсной ячеистой структурой, получаемый в результате поризации и гидратационного твердения раствора, состоящего из цемента, песка, воды и пеноконцентрата Неопор, основу которого составляет гидролизат протеина.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3.4Пеноконцентрат Неопор: </w:t>
      </w:r>
      <w:r>
        <w:t>Устойчивый, биологически разлагаемый, химически нейтральный пенообразователь, основу которого составляют биополимеры, построенные из остатков аминокислот, связанных между собой длинными полипептидными цепями.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3.5Класс бетона по прочности: </w:t>
      </w:r>
      <w:r>
        <w:t>Количественная ве</w:t>
      </w:r>
      <w:r>
        <w:t>личина, характеризующая качество бетона, соответствующая его гарантированной прочности на осевое сжатие, обозначаемое буквой В и числами, выражающими значения нормативного сопротивления и гарантированной прочности в Н/мм</w:t>
      </w:r>
      <w:r>
        <w:rPr>
          <w:vertAlign w:val="superscript"/>
        </w:rPr>
        <w:t>2</w:t>
      </w:r>
      <w:r>
        <w:t xml:space="preserve"> (МПа), например, В10/12,5 (перед ч</w:t>
      </w:r>
      <w:r>
        <w:t xml:space="preserve">ертой - значение нормативного сопротивления </w:t>
      </w:r>
      <w:r>
        <w:rPr>
          <w:i/>
          <w:iCs/>
        </w:rPr>
        <w:t>f</w:t>
      </w:r>
      <w:r>
        <w:rPr>
          <w:i/>
          <w:iCs/>
          <w:vertAlign w:val="subscript"/>
        </w:rPr>
        <w:t>ck</w:t>
      </w:r>
      <w:r>
        <w:t>Н/мм</w:t>
      </w:r>
      <w:r>
        <w:rPr>
          <w:vertAlign w:val="superscript"/>
        </w:rPr>
        <w:t>2</w:t>
      </w:r>
      <w:r>
        <w:t>, после черты - гарантированная прочность бетона</w:t>
      </w:r>
      <w:r>
        <w:t xml:space="preserve"> </w:t>
      </w:r>
      <w:r>
        <w:rPr>
          <w:noProof/>
        </w:rPr>
        <w:drawing>
          <wp:inline distT="0" distB="0" distL="0" distR="0">
            <wp:extent cx="171450" cy="1809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5" r:link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 </w:t>
      </w:r>
      <w:r>
        <w:t>Н/мм</w:t>
      </w:r>
      <w:r>
        <w:rPr>
          <w:vertAlign w:val="superscript"/>
        </w:rPr>
        <w:t>2</w:t>
      </w:r>
      <w:r>
        <w:t>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3.6Нормируемая плотность неопорбетона: </w:t>
      </w:r>
      <w:r>
        <w:t>Значение плотности бетона, заданное в нормативно-технической и проектной документации.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3.7Нормируемая прочность: </w:t>
      </w:r>
      <w:r>
        <w:t>Прочность неопорбетона в проектном возрасте или ее доля в промежуточном возрасте, установленная в нормативном или техническом документе, по которому изготавливают изделие или конструкцию.</w:t>
      </w:r>
    </w:p>
    <w:p w:rsidR="00000000" w:rsidRDefault="00515C2D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Порозолобетон: </w:t>
      </w:r>
      <w:r>
        <w:t>Разновидность неопорбетона, у которого в качестве</w:t>
      </w:r>
      <w:r>
        <w:t xml:space="preserve"> кремнеземистого компонента применяют золу сухого отбора (зола-уноса) теплоэлектростанции.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3.9Фактическая прочность: </w:t>
      </w:r>
      <w:r>
        <w:t>Прочность затвердевшего неопорбетона, определяемая по результатам испытания контрольных образцов или образцов, взятых непосредственно из ко</w:t>
      </w:r>
      <w:r>
        <w:t>нструкции.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3.10Фактическая плотность неопорбетона: </w:t>
      </w:r>
      <w:r>
        <w:t>Среднее значение плотности бетона в партии, определяемое по результатам испытаний контрольных образцов или радиоизотопным методом непосредственно в конструкции.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4. ПРИЕМЛЕМЫЕ РЕШЕНИЯ</w:t>
      </w:r>
    </w:p>
    <w:p w:rsidR="00000000" w:rsidRDefault="00515C2D">
      <w:pPr>
        <w:ind w:firstLine="426"/>
      </w:pPr>
      <w:r>
        <w:rPr>
          <w:b/>
          <w:bCs/>
        </w:rPr>
        <w:t> </w:t>
      </w:r>
    </w:p>
    <w:p w:rsidR="00000000" w:rsidRDefault="00515C2D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515C2D">
      <w:pPr>
        <w:ind w:firstLine="426"/>
        <w:jc w:val="both"/>
      </w:pPr>
      <w:r>
        <w:t>4.1.1 Материалы, используемые для приготовления неопорбетона (вяжущие, заполнители, добавки, вода), должны удовлетворять требованиям нормативных документов на эти материалы.</w:t>
      </w:r>
    </w:p>
    <w:p w:rsidR="00000000" w:rsidRDefault="00515C2D">
      <w:pPr>
        <w:ind w:firstLine="426"/>
        <w:jc w:val="both"/>
      </w:pPr>
      <w:r>
        <w:t>4.1.2 Неопорбетонные смеси в период срока их годности должны о</w:t>
      </w:r>
      <w:r>
        <w:t>бладать заданной проектной подвижностью и водоудерживающей способностью.</w:t>
      </w:r>
    </w:p>
    <w:p w:rsidR="00000000" w:rsidRDefault="00515C2D">
      <w:pPr>
        <w:ind w:firstLine="426"/>
        <w:jc w:val="both"/>
      </w:pPr>
      <w:r>
        <w:t>4.1.3 Изделия из неопорбетона должны удовлетворять требованиям соответствующих нормативных документов и рабочих чертежей. Рекомендуемая номенклатура изделий и конструкций включает пер</w:t>
      </w:r>
      <w:r>
        <w:t>егородки, полуфабрикаты пустотелых стен, фасадные стены, кровельные плиты, напольные плиты, заливка пола, заполнение пустот и др.</w:t>
      </w:r>
    </w:p>
    <w:p w:rsidR="00000000" w:rsidRDefault="00515C2D">
      <w:pPr>
        <w:ind w:firstLine="426"/>
        <w:jc w:val="both"/>
      </w:pPr>
      <w:r>
        <w:t>4.1.4 Изделия из неопорбетона должны производиться по утвержденным технологическим картам, составленным применительно к услови</w:t>
      </w:r>
      <w:r>
        <w:t>ям конкретного производства, исходных материалов и вида изделий.</w:t>
      </w:r>
    </w:p>
    <w:p w:rsidR="00000000" w:rsidRDefault="00515C2D">
      <w:pPr>
        <w:ind w:firstLine="426"/>
        <w:jc w:val="both"/>
      </w:pPr>
      <w:r>
        <w:rPr>
          <w:b/>
          <w:bCs/>
        </w:rPr>
        <w:t>4.2Классификация неопорбетона</w:t>
      </w:r>
    </w:p>
    <w:p w:rsidR="00000000" w:rsidRDefault="00515C2D">
      <w:pPr>
        <w:ind w:firstLine="426"/>
        <w:jc w:val="both"/>
      </w:pPr>
      <w:r>
        <w:t>4.2.1 Неопорбетон классифицируют по функциональному назначению, по виду наполнителя (кремнеземистого компонента), условиям твердения, структуре, средней плотност</w:t>
      </w:r>
      <w:r>
        <w:t>и.</w:t>
      </w:r>
    </w:p>
    <w:p w:rsidR="00000000" w:rsidRDefault="00515C2D">
      <w:pPr>
        <w:ind w:firstLine="426"/>
        <w:jc w:val="both"/>
      </w:pPr>
      <w:r>
        <w:t>4.2.2 По функциональному назначению:</w:t>
      </w:r>
    </w:p>
    <w:p w:rsidR="00000000" w:rsidRDefault="00515C2D">
      <w:pPr>
        <w:ind w:firstLine="426"/>
        <w:jc w:val="both"/>
      </w:pPr>
      <w:r>
        <w:t>- конструкционный;</w:t>
      </w:r>
    </w:p>
    <w:p w:rsidR="00000000" w:rsidRDefault="00515C2D">
      <w:pPr>
        <w:ind w:firstLine="426"/>
        <w:jc w:val="both"/>
      </w:pPr>
      <w:r>
        <w:t>- конструкционно-теплоизоляционный;</w:t>
      </w:r>
    </w:p>
    <w:p w:rsidR="00000000" w:rsidRDefault="00515C2D">
      <w:pPr>
        <w:ind w:firstLine="426"/>
        <w:jc w:val="both"/>
      </w:pPr>
      <w:r>
        <w:t>- теплоизоляционный.</w:t>
      </w:r>
    </w:p>
    <w:p w:rsidR="00000000" w:rsidRDefault="00515C2D">
      <w:pPr>
        <w:ind w:firstLine="426"/>
        <w:jc w:val="both"/>
      </w:pPr>
      <w:r>
        <w:t>4.2.3 По виду наполнителя (кремнеземистого компонента) на:</w:t>
      </w:r>
    </w:p>
    <w:p w:rsidR="00000000" w:rsidRDefault="00515C2D">
      <w:pPr>
        <w:ind w:firstLine="426"/>
        <w:jc w:val="both"/>
      </w:pPr>
      <w:r>
        <w:t>- кварцевом песке (при этом предпочтение отдается пескам, содержащим не менее 90%</w:t>
      </w:r>
      <w:r>
        <w:t xml:space="preserve"> кремнезема);</w:t>
      </w:r>
    </w:p>
    <w:p w:rsidR="00000000" w:rsidRDefault="00515C2D">
      <w:pPr>
        <w:ind w:firstLine="426"/>
        <w:jc w:val="both"/>
      </w:pPr>
      <w:r>
        <w:t>- барханном песке (полиминеральном);</w:t>
      </w:r>
    </w:p>
    <w:p w:rsidR="00000000" w:rsidRDefault="00515C2D">
      <w:pPr>
        <w:ind w:firstLine="426"/>
        <w:jc w:val="both"/>
      </w:pPr>
      <w:r>
        <w:t>- полевошпатовом песке;</w:t>
      </w:r>
    </w:p>
    <w:p w:rsidR="00000000" w:rsidRDefault="00515C2D">
      <w:pPr>
        <w:ind w:firstLine="426"/>
        <w:jc w:val="both"/>
      </w:pPr>
      <w:r>
        <w:t>- золе-уноса от сжигания бурых и каменных углей.</w:t>
      </w:r>
    </w:p>
    <w:p w:rsidR="00000000" w:rsidRDefault="00515C2D">
      <w:pPr>
        <w:ind w:firstLine="426"/>
        <w:jc w:val="both"/>
      </w:pPr>
      <w:r>
        <w:t>4.2.4 По условиям твердения:</w:t>
      </w:r>
    </w:p>
    <w:p w:rsidR="00000000" w:rsidRDefault="00515C2D">
      <w:pPr>
        <w:ind w:firstLine="426"/>
        <w:jc w:val="both"/>
      </w:pPr>
      <w:r>
        <w:t>- термообработка;</w:t>
      </w:r>
    </w:p>
    <w:p w:rsidR="00000000" w:rsidRDefault="00515C2D">
      <w:pPr>
        <w:ind w:firstLine="426"/>
        <w:jc w:val="both"/>
      </w:pPr>
      <w:r>
        <w:t>- нормальные условия твердения.</w:t>
      </w:r>
    </w:p>
    <w:p w:rsidR="00000000" w:rsidRDefault="00515C2D">
      <w:pPr>
        <w:ind w:firstLine="426"/>
        <w:jc w:val="both"/>
      </w:pPr>
      <w:r>
        <w:t>4.2.5 По структуре:</w:t>
      </w:r>
    </w:p>
    <w:p w:rsidR="00000000" w:rsidRDefault="00515C2D">
      <w:pPr>
        <w:ind w:firstLine="426"/>
        <w:jc w:val="both"/>
      </w:pPr>
      <w:r>
        <w:t>- мелкопористые;</w:t>
      </w:r>
    </w:p>
    <w:p w:rsidR="00000000" w:rsidRDefault="00515C2D">
      <w:pPr>
        <w:ind w:firstLine="426"/>
        <w:jc w:val="both"/>
      </w:pPr>
      <w:r>
        <w:t>- крупнопористые.</w:t>
      </w:r>
    </w:p>
    <w:p w:rsidR="00000000" w:rsidRDefault="00515C2D">
      <w:pPr>
        <w:ind w:firstLine="426"/>
        <w:jc w:val="both"/>
      </w:pPr>
      <w:r>
        <w:t>4.2.6 По средней плотности:</w:t>
      </w:r>
    </w:p>
    <w:p w:rsidR="00000000" w:rsidRDefault="00515C2D">
      <w:pPr>
        <w:ind w:firstLine="426"/>
        <w:jc w:val="both"/>
      </w:pPr>
      <w:r>
        <w:t>- сверхлегкие, средняя плотность которых ниже 400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t>- средней плотности, которая колеблется в пределах от 400 до 1200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t>- средняя плотность которых колеблется в пределах от 1200 до 1800 кг/м</w:t>
      </w:r>
      <w:r>
        <w:rPr>
          <w:vertAlign w:val="superscript"/>
        </w:rPr>
        <w:t>3</w:t>
      </w:r>
      <w:r>
        <w:t>.</w:t>
      </w:r>
    </w:p>
    <w:p w:rsidR="00000000" w:rsidRDefault="00515C2D">
      <w:pPr>
        <w:ind w:firstLine="426"/>
        <w:jc w:val="both"/>
      </w:pPr>
      <w:r>
        <w:rPr>
          <w:b/>
          <w:bCs/>
        </w:rPr>
        <w:t>4.3Техн</w:t>
      </w:r>
      <w:r>
        <w:rPr>
          <w:b/>
          <w:bCs/>
        </w:rPr>
        <w:t>ические характеристики неопорбетона</w:t>
      </w:r>
    </w:p>
    <w:p w:rsidR="00000000" w:rsidRDefault="00515C2D">
      <w:pPr>
        <w:ind w:firstLine="426"/>
        <w:jc w:val="both"/>
      </w:pPr>
      <w:r>
        <w:t>4.3.1 По прочности на сжатие в сухом состоянии неопорбетон подразделяется на следующие классы: В0,35, В0,5 В0,75, В1, В1,25, В1,7, В2, В2,5, В3, В3,5, В5, В7,5, B10, В12,5, В20, В22,5, В25, В27,5, В30.</w:t>
      </w:r>
    </w:p>
    <w:p w:rsidR="00000000" w:rsidRDefault="00515C2D">
      <w:pPr>
        <w:ind w:firstLine="426"/>
        <w:jc w:val="both"/>
      </w:pPr>
      <w:r>
        <w:t>4.3.2 Средняя плот</w:t>
      </w:r>
      <w:r>
        <w:t>ность неопорбетонов в сухом состоянии характеризуется марками: D400, D500, D600, D700, D800, D900, D1000, D1200, D1600, D1800.</w:t>
      </w:r>
    </w:p>
    <w:p w:rsidR="00000000" w:rsidRDefault="00515C2D">
      <w:pPr>
        <w:ind w:firstLine="426"/>
        <w:jc w:val="both"/>
      </w:pPr>
      <w:r>
        <w:t>4.3.3 В зависимости от назначения неопорбетон делится на:</w:t>
      </w:r>
    </w:p>
    <w:p w:rsidR="00000000" w:rsidRDefault="00515C2D">
      <w:pPr>
        <w:ind w:firstLine="426"/>
        <w:jc w:val="both"/>
      </w:pPr>
      <w:r>
        <w:t>- теплоизоляционный: класс по прочности на сжатие от В0,35 до В1, марка</w:t>
      </w:r>
      <w:r>
        <w:t xml:space="preserve"> по средней плотности - не выше D500;</w:t>
      </w:r>
    </w:p>
    <w:p w:rsidR="00000000" w:rsidRDefault="00515C2D">
      <w:pPr>
        <w:ind w:firstLine="426"/>
        <w:jc w:val="both"/>
      </w:pPr>
      <w:r>
        <w:t>- конструкционно-теплоизоляционный: класс по прочности на сжатие от В1 до В7,5, марка по средней плотности - не выше D900;</w:t>
      </w:r>
    </w:p>
    <w:p w:rsidR="00000000" w:rsidRDefault="00515C2D">
      <w:pPr>
        <w:ind w:firstLine="426"/>
        <w:jc w:val="both"/>
      </w:pPr>
      <w:r>
        <w:t>- конструкционный: класс по прочности на сжатие от В7,5 до В30, марка по средней плотности - D1</w:t>
      </w:r>
      <w:r>
        <w:t>000 и выше.</w:t>
      </w:r>
    </w:p>
    <w:p w:rsidR="00000000" w:rsidRDefault="00515C2D">
      <w:pPr>
        <w:ind w:firstLine="426"/>
        <w:jc w:val="both"/>
      </w:pPr>
      <w:r>
        <w:t>4.3.4 Для неопорбетонных конструкций, подвергающихся попеременному замораживанию и оттаиванию, назначают и контролируют следующие марки по морозостойкости: F15, F25, F35, F50, F75, F100.</w:t>
      </w:r>
    </w:p>
    <w:p w:rsidR="00000000" w:rsidRDefault="00515C2D">
      <w:pPr>
        <w:ind w:firstLine="426"/>
        <w:jc w:val="both"/>
      </w:pPr>
      <w:r>
        <w:t>4.3.5 Назначение марки неопорбетона по морозостойкости сл</w:t>
      </w:r>
      <w:r>
        <w:t>едует проводить в зависимости от режима эксплуатации конструкций и расчетных зимних температурах наружного воздуха в районах строительства.</w:t>
      </w:r>
    </w:p>
    <w:p w:rsidR="00000000" w:rsidRDefault="00515C2D">
      <w:pPr>
        <w:ind w:firstLine="426"/>
        <w:jc w:val="both"/>
      </w:pPr>
      <w:r>
        <w:t>4.3.6 Класс бетона по прочности назначается при его проектировании, исходя из возможных реальных сроков нагружения к</w:t>
      </w:r>
      <w:r>
        <w:t>онструкций проектными нагрузками, способа возведения изделий и конструкций и условий твердения бетона.</w:t>
      </w:r>
    </w:p>
    <w:p w:rsidR="00000000" w:rsidRDefault="00515C2D">
      <w:pPr>
        <w:ind w:firstLine="426"/>
        <w:jc w:val="both"/>
      </w:pPr>
      <w:r>
        <w:t>4.3.7 Правила контроля и оценки прочности готовой к применению неопорбетонной смеси, неопорбетонных изделий и конструкций, должны соответствовать требова</w:t>
      </w:r>
      <w:r>
        <w:t xml:space="preserve">ниям </w:t>
      </w:r>
      <w:hyperlink r:id="rId77" w:history="1">
        <w:r>
          <w:rPr>
            <w:rStyle w:val="a3"/>
            <w:color w:val="0000FF"/>
            <w:u w:val="single"/>
          </w:rPr>
          <w:t>СТ РК 937</w:t>
        </w:r>
      </w:hyperlink>
      <w:r>
        <w:t xml:space="preserve">, </w:t>
      </w:r>
      <w:hyperlink r:id="rId78" w:history="1">
        <w:r>
          <w:rPr>
            <w:rStyle w:val="a3"/>
            <w:color w:val="0000FF"/>
            <w:u w:val="single"/>
          </w:rPr>
          <w:t>ГОСТ 18105</w:t>
        </w:r>
      </w:hyperlink>
      <w:r>
        <w:t xml:space="preserve"> с учетом среднего значения партионного коэффициента вариации </w:t>
      </w:r>
      <w:r>
        <w:rPr>
          <w:i/>
          <w:iCs/>
        </w:rPr>
        <w:t>V</w:t>
      </w:r>
      <w:r>
        <w:rPr>
          <w:i/>
          <w:iCs/>
          <w:vertAlign w:val="subscript"/>
        </w:rPr>
        <w:t>n</w:t>
      </w:r>
      <w:r>
        <w:t>по прочности на сжатие, а также норм</w:t>
      </w:r>
      <w:r>
        <w:t>ативным документам на отдельные виды изделий.</w:t>
      </w:r>
    </w:p>
    <w:p w:rsidR="00000000" w:rsidRDefault="00515C2D">
      <w:pPr>
        <w:ind w:firstLine="426"/>
        <w:jc w:val="both"/>
      </w:pPr>
      <w:r>
        <w:t>4.3.8 Отпускная прочность неопорбетона должна соответствовать для:</w:t>
      </w:r>
    </w:p>
    <w:p w:rsidR="00000000" w:rsidRDefault="00515C2D">
      <w:pPr>
        <w:ind w:firstLine="426"/>
        <w:jc w:val="both"/>
      </w:pPr>
      <w:r>
        <w:t>- конструкционно-теплоизоляционных неопорбетонов - 80% в летний и зимний периоды;</w:t>
      </w:r>
    </w:p>
    <w:p w:rsidR="00000000" w:rsidRDefault="00515C2D">
      <w:pPr>
        <w:ind w:firstLine="426"/>
        <w:jc w:val="both"/>
      </w:pPr>
      <w:r>
        <w:t>- конструкционных неопорбетонов - 70% в летний и 90% в зимний</w:t>
      </w:r>
      <w:r>
        <w:t xml:space="preserve"> периоды.</w:t>
      </w:r>
    </w:p>
    <w:p w:rsidR="00000000" w:rsidRDefault="00515C2D">
      <w:pPr>
        <w:ind w:firstLine="426"/>
        <w:jc w:val="both"/>
      </w:pPr>
      <w:r>
        <w:t xml:space="preserve">4.3.9 Отпускная влажность неопорбетона в изделиях, определяется по </w:t>
      </w:r>
      <w:hyperlink r:id="rId79" w:history="1">
        <w:r>
          <w:rPr>
            <w:rStyle w:val="a3"/>
            <w:color w:val="0000FF"/>
            <w:u w:val="single"/>
          </w:rPr>
          <w:t>ГОСТ 12730.2</w:t>
        </w:r>
      </w:hyperlink>
      <w:r>
        <w:t xml:space="preserve"> и не должна превышать, процентов по массе:</w:t>
      </w:r>
    </w:p>
    <w:p w:rsidR="00000000" w:rsidRDefault="00515C2D">
      <w:pPr>
        <w:ind w:firstLine="426"/>
        <w:jc w:val="both"/>
      </w:pPr>
      <w:r>
        <w:t>- на основе песка - 15;</w:t>
      </w:r>
    </w:p>
    <w:p w:rsidR="00000000" w:rsidRDefault="00515C2D">
      <w:pPr>
        <w:ind w:firstLine="426"/>
        <w:jc w:val="both"/>
      </w:pPr>
      <w:r>
        <w:t>- на основе золы-уноса - 25.</w:t>
      </w:r>
    </w:p>
    <w:p w:rsidR="00000000" w:rsidRDefault="00515C2D">
      <w:pPr>
        <w:ind w:firstLine="426"/>
        <w:jc w:val="both"/>
      </w:pPr>
      <w:r>
        <w:t>4.3.1</w:t>
      </w:r>
      <w:r>
        <w:t xml:space="preserve">0 Нормируемые показатели физико-механических свойств неопорбетона, предусмотренные </w:t>
      </w:r>
      <w:hyperlink r:id="rId80" w:history="1">
        <w:r>
          <w:rPr>
            <w:rStyle w:val="a3"/>
            <w:color w:val="0000FF"/>
            <w:u w:val="single"/>
          </w:rPr>
          <w:t>ГОСТ 4.212</w:t>
        </w:r>
      </w:hyperlink>
      <w:r>
        <w:t xml:space="preserve">, должны соответствовать </w:t>
      </w:r>
      <w:hyperlink r:id="rId81" w:history="1">
        <w:r>
          <w:rPr>
            <w:rStyle w:val="a3"/>
            <w:color w:val="0000FF"/>
            <w:u w:val="single"/>
          </w:rPr>
          <w:t>ГОСТ 254</w:t>
        </w:r>
        <w:r>
          <w:rPr>
            <w:rStyle w:val="a3"/>
            <w:color w:val="0000FF"/>
            <w:u w:val="single"/>
          </w:rPr>
          <w:t>85</w:t>
        </w:r>
      </w:hyperlink>
      <w:r>
        <w:t>.</w:t>
      </w:r>
    </w:p>
    <w:p w:rsidR="00000000" w:rsidRDefault="00515C2D">
      <w:pPr>
        <w:ind w:firstLine="426"/>
        <w:jc w:val="both"/>
      </w:pPr>
      <w:r>
        <w:t xml:space="preserve">4.3.11 Коэффициент теплопроводности неопорбетона должен соответствовать требованиям нормативного и проектного документов на изделия конкретного вида, а при отсутствии этих требований </w:t>
      </w:r>
      <w:hyperlink r:id="rId82" w:history="1">
        <w:r>
          <w:rPr>
            <w:rStyle w:val="a3"/>
            <w:color w:val="0000FF"/>
            <w:u w:val="single"/>
          </w:rPr>
          <w:t>СП Р</w:t>
        </w:r>
        <w:r>
          <w:rPr>
            <w:rStyle w:val="a3"/>
            <w:color w:val="0000FF"/>
            <w:u w:val="single"/>
          </w:rPr>
          <w:t>К 2.04-107</w:t>
        </w:r>
      </w:hyperlink>
      <w:r>
        <w:t xml:space="preserve">. Значения коэффициента теплопроводности при равновесной влажности приведены в </w:t>
      </w:r>
      <w:hyperlink r:id="rId83" w:anchor="sub_id=1" w:history="1">
        <w:r>
          <w:rPr>
            <w:rStyle w:val="a3"/>
            <w:color w:val="0000FF"/>
            <w:u w:val="single"/>
          </w:rPr>
          <w:t>приложении А</w:t>
        </w:r>
      </w:hyperlink>
      <w:r>
        <w:t>.</w:t>
      </w:r>
    </w:p>
    <w:p w:rsidR="00000000" w:rsidRDefault="00515C2D">
      <w:pPr>
        <w:ind w:firstLine="426"/>
        <w:jc w:val="both"/>
      </w:pPr>
      <w:r>
        <w:t>4.3.12 При изучении свойств и для данных, необходимых при нормировании рас</w:t>
      </w:r>
      <w:r>
        <w:t xml:space="preserve">четных характеристик, качество неопорбетона следует характеризовать призменной прочностью, модулем упругости, прочностью при растяжении по </w:t>
      </w:r>
      <w:hyperlink r:id="rId84" w:history="1">
        <w:r>
          <w:rPr>
            <w:rStyle w:val="a3"/>
            <w:color w:val="0000FF"/>
            <w:u w:val="single"/>
          </w:rPr>
          <w:t>ГОСТ 24452</w:t>
        </w:r>
      </w:hyperlink>
      <w:r>
        <w:t>.</w:t>
      </w:r>
    </w:p>
    <w:p w:rsidR="00000000" w:rsidRDefault="00515C2D">
      <w:pPr>
        <w:ind w:firstLine="426"/>
        <w:jc w:val="both"/>
      </w:pPr>
      <w:r>
        <w:t>4.3.13 Изготовитель должен предоставлять</w:t>
      </w:r>
      <w:r>
        <w:t xml:space="preserve"> потребителю по его просьбе данные о значении коэффициента паропроницаемости неопорбетона по </w:t>
      </w:r>
      <w:hyperlink r:id="rId85" w:history="1">
        <w:r>
          <w:rPr>
            <w:rStyle w:val="a3"/>
            <w:color w:val="0000FF"/>
            <w:u w:val="single"/>
          </w:rPr>
          <w:t>ГОСТ 25898</w:t>
        </w:r>
      </w:hyperlink>
      <w:r>
        <w:t>, если условиями эксплуатации изделий установлена необходимость определения этого показа</w:t>
      </w:r>
      <w:r>
        <w:t>теля.</w:t>
      </w:r>
    </w:p>
    <w:p w:rsidR="00000000" w:rsidRDefault="00515C2D">
      <w:pPr>
        <w:ind w:firstLine="426"/>
        <w:jc w:val="both"/>
      </w:pPr>
      <w:r>
        <w:t>4.3.14 Усадка при высыхании неопорбетона не должна превышать, мм/м:</w:t>
      </w:r>
    </w:p>
    <w:p w:rsidR="00000000" w:rsidRDefault="00515C2D">
      <w:pPr>
        <w:ind w:firstLine="426"/>
        <w:jc w:val="both"/>
      </w:pPr>
      <w:r>
        <w:t>- 0,5 - для конструкционных и конструкционно-теплоизоляционных неопорбетонов, изготовленных на кварцевом песке;</w:t>
      </w:r>
    </w:p>
    <w:p w:rsidR="00000000" w:rsidRDefault="00515C2D">
      <w:pPr>
        <w:ind w:firstLine="426"/>
        <w:jc w:val="both"/>
      </w:pPr>
      <w:r>
        <w:t>- 0,7 - для конструкционных и конструкционно-теплоизоляционных неопорбетонов, изготовленных на других видах кремнеземистых компонентов.</w:t>
      </w:r>
    </w:p>
    <w:p w:rsidR="00000000" w:rsidRDefault="00515C2D">
      <w:pPr>
        <w:ind w:firstLine="426"/>
        <w:jc w:val="both"/>
      </w:pPr>
      <w:r>
        <w:t>Усадка п</w:t>
      </w:r>
      <w:r>
        <w:t>ри высыхании теплоизоляционных неопорбетонов не нормируется.</w:t>
      </w:r>
    </w:p>
    <w:p w:rsidR="00000000" w:rsidRDefault="00515C2D">
      <w:pPr>
        <w:ind w:firstLine="426"/>
        <w:jc w:val="both"/>
      </w:pPr>
      <w:r>
        <w:t xml:space="preserve">4.3.15 Методика определения усадки неопорбетона определяется в соответствии с </w:t>
      </w:r>
      <w:hyperlink r:id="rId86" w:history="1">
        <w:r>
          <w:rPr>
            <w:rStyle w:val="a3"/>
            <w:color w:val="0000FF"/>
            <w:u w:val="single"/>
          </w:rPr>
          <w:t>ГОСТ 25485</w:t>
        </w:r>
      </w:hyperlink>
      <w:r>
        <w:t>.</w:t>
      </w:r>
    </w:p>
    <w:p w:rsidR="00000000" w:rsidRDefault="00515C2D">
      <w:pPr>
        <w:ind w:firstLine="426"/>
        <w:jc w:val="both"/>
      </w:pPr>
      <w:r>
        <w:t>4.3.16 Для повышения трещиностойкости не</w:t>
      </w:r>
      <w:r>
        <w:t>опорбетона допускается использовать щелочестойкое волокно.</w:t>
      </w:r>
    </w:p>
    <w:p w:rsidR="00000000" w:rsidRDefault="00515C2D">
      <w:pPr>
        <w:ind w:firstLine="426"/>
        <w:jc w:val="both"/>
      </w:pPr>
      <w:r>
        <w:t>4.3.17 Удельная эффективная активность естественных радионуклидов А</w:t>
      </w:r>
      <w:r>
        <w:rPr>
          <w:vertAlign w:val="subscript"/>
        </w:rPr>
        <w:t>эф</w:t>
      </w:r>
      <w:r>
        <w:t xml:space="preserve"> в неопорбетонах не должна превышать 370 Бк/кг по </w:t>
      </w:r>
      <w:hyperlink r:id="rId87" w:history="1">
        <w:r>
          <w:rPr>
            <w:rStyle w:val="a3"/>
            <w:color w:val="0000FF"/>
            <w:u w:val="single"/>
          </w:rPr>
          <w:t>ГОСТ 30108</w:t>
        </w:r>
      </w:hyperlink>
      <w:r>
        <w:t>.</w:t>
      </w:r>
    </w:p>
    <w:p w:rsidR="00000000" w:rsidRDefault="00515C2D">
      <w:pPr>
        <w:ind w:firstLine="426"/>
        <w:jc w:val="both"/>
      </w:pPr>
      <w:r>
        <w:t>4.</w:t>
      </w:r>
      <w:r>
        <w:t xml:space="preserve">3.18 Неопорбетон относится к негорючим (НГ) материалам в соответствии с </w:t>
      </w:r>
      <w:hyperlink r:id="rId88" w:history="1">
        <w:r>
          <w:rPr>
            <w:rStyle w:val="a3"/>
            <w:color w:val="0000FF"/>
            <w:u w:val="single"/>
          </w:rPr>
          <w:t>ГОСТ 30244</w:t>
        </w:r>
      </w:hyperlink>
      <w:r>
        <w:t>.</w:t>
      </w:r>
    </w:p>
    <w:p w:rsidR="00000000" w:rsidRDefault="00515C2D">
      <w:pPr>
        <w:ind w:firstLine="426"/>
        <w:jc w:val="both"/>
      </w:pPr>
      <w:r>
        <w:rPr>
          <w:b/>
          <w:bCs/>
        </w:rPr>
        <w:t>4.4 Материалы для изготовления неопорбетона</w:t>
      </w:r>
    </w:p>
    <w:p w:rsidR="00000000" w:rsidRDefault="00515C2D">
      <w:pPr>
        <w:ind w:firstLine="426"/>
        <w:jc w:val="both"/>
      </w:pPr>
      <w:r>
        <w:t>4.4.1 Сырье и материалы, применяемые при изготовлении неопорбето</w:t>
      </w:r>
      <w:r>
        <w:t>на, должны соответствовать требованиям нормативных документов на них и, при необходимости, сопровождаться сертификатами соответствия.</w:t>
      </w:r>
    </w:p>
    <w:p w:rsidR="00000000" w:rsidRDefault="00515C2D">
      <w:pPr>
        <w:ind w:firstLine="426"/>
        <w:jc w:val="both"/>
      </w:pPr>
      <w:r>
        <w:t>4.4.2 В качестве вяжущих для приготовления неопорбетона следует применять портландцемент, шлакопортландцемент.</w:t>
      </w:r>
    </w:p>
    <w:p w:rsidR="00000000" w:rsidRDefault="00515C2D">
      <w:pPr>
        <w:ind w:firstLine="426"/>
        <w:jc w:val="both"/>
      </w:pPr>
      <w:r>
        <w:t xml:space="preserve">Могут быть </w:t>
      </w:r>
      <w:r>
        <w:t>использованы другие виды цементов и вяжущие, после проверки их эффективности.</w:t>
      </w:r>
    </w:p>
    <w:p w:rsidR="00000000" w:rsidRDefault="00515C2D">
      <w:pPr>
        <w:ind w:firstLine="426"/>
        <w:jc w:val="both"/>
      </w:pPr>
      <w:r>
        <w:t xml:space="preserve">4.4.3 Портландцемент СЕМ I 32,5 N и СЕМ I 42,5 N по </w:t>
      </w:r>
      <w:hyperlink r:id="rId89" w:history="1">
        <w:r>
          <w:rPr>
            <w:rStyle w:val="a3"/>
            <w:color w:val="0000FF"/>
            <w:u w:val="single"/>
          </w:rPr>
          <w:t>СТ РК EN 197-1</w:t>
        </w:r>
      </w:hyperlink>
      <w:r>
        <w:t xml:space="preserve">, </w:t>
      </w:r>
      <w:hyperlink r:id="rId90" w:history="1">
        <w:r>
          <w:rPr>
            <w:rStyle w:val="a3"/>
            <w:color w:val="0000FF"/>
            <w:u w:val="single"/>
          </w:rPr>
          <w:t>ГОСТ 31108</w:t>
        </w:r>
      </w:hyperlink>
      <w:r>
        <w:t xml:space="preserve">, марки ПЦ400-Д0, ПЦ500-Д0, ШПЦ400-Д0 и ШПЦ500-Д0 по </w:t>
      </w:r>
      <w:hyperlink r:id="rId91" w:history="1">
        <w:r>
          <w:rPr>
            <w:rStyle w:val="a3"/>
            <w:color w:val="0000FF"/>
            <w:u w:val="single"/>
          </w:rPr>
          <w:t>ГОСТ 10178</w:t>
        </w:r>
      </w:hyperlink>
      <w:r>
        <w:t xml:space="preserve">, шлакопортландцемент по </w:t>
      </w:r>
      <w:hyperlink r:id="rId92" w:history="1">
        <w:r>
          <w:rPr>
            <w:rStyle w:val="a3"/>
            <w:color w:val="0000FF"/>
            <w:u w:val="single"/>
          </w:rPr>
          <w:t>СТ РК EN 197-1</w:t>
        </w:r>
      </w:hyperlink>
      <w:r>
        <w:t xml:space="preserve">, </w:t>
      </w:r>
      <w:hyperlink r:id="rId93" w:history="1">
        <w:r>
          <w:rPr>
            <w:rStyle w:val="a3"/>
            <w:color w:val="0000FF"/>
            <w:u w:val="single"/>
          </w:rPr>
          <w:t>ГОСТ 31108</w:t>
        </w:r>
      </w:hyperlink>
      <w:r>
        <w:t xml:space="preserve">, </w:t>
      </w:r>
      <w:hyperlink r:id="rId94" w:history="1">
        <w:r>
          <w:rPr>
            <w:rStyle w:val="a3"/>
            <w:color w:val="0000FF"/>
            <w:u w:val="single"/>
          </w:rPr>
          <w:t>ГОСТ 10178</w:t>
        </w:r>
      </w:hyperlink>
      <w:r>
        <w:t xml:space="preserve">, должен содержать трехкальциевый силикат не менее </w:t>
      </w:r>
      <w:r>
        <w:t>60% и трехкальциевый алюминат не более 6%.</w:t>
      </w:r>
    </w:p>
    <w:p w:rsidR="00000000" w:rsidRDefault="00515C2D">
      <w:pPr>
        <w:ind w:firstLine="426"/>
        <w:jc w:val="both"/>
      </w:pPr>
      <w:r>
        <w:t>4.4.4 Тонкость помола цемента должна быть по остатку на сите № 008 при просеивании не более 15%.</w:t>
      </w:r>
    </w:p>
    <w:p w:rsidR="00000000" w:rsidRDefault="00515C2D">
      <w:pPr>
        <w:ind w:firstLine="426"/>
        <w:jc w:val="both"/>
      </w:pPr>
      <w:r>
        <w:t>Начало схватывания цемента должно наступать не позднее 2 ч., а конец схватывания - не позднее 4 ч. после затворения.</w:t>
      </w:r>
    </w:p>
    <w:p w:rsidR="00000000" w:rsidRDefault="00515C2D">
      <w:pPr>
        <w:ind w:firstLine="426"/>
        <w:jc w:val="both"/>
      </w:pPr>
      <w:r>
        <w:t>4.4.5 Удельная поверхность цемента должна быть от 2800 до 3200 см</w:t>
      </w:r>
      <w:r>
        <w:rPr>
          <w:vertAlign w:val="superscript"/>
        </w:rPr>
        <w:t>2</w:t>
      </w:r>
      <w:r>
        <w:t>/г (проход через сито № 008 - не менее 85%) для конструкционного и конструкционно-теплоизоляционного и 3500 или 4000 см</w:t>
      </w:r>
      <w:r>
        <w:rPr>
          <w:vertAlign w:val="superscript"/>
        </w:rPr>
        <w:t>2</w:t>
      </w:r>
      <w:r>
        <w:t>/г для теплоизоляционного неопорбетона.</w:t>
      </w:r>
    </w:p>
    <w:p w:rsidR="00000000" w:rsidRDefault="00515C2D">
      <w:pPr>
        <w:ind w:firstLine="426"/>
        <w:jc w:val="both"/>
      </w:pPr>
      <w:r>
        <w:t>4.4.6 Не допускается применен</w:t>
      </w:r>
      <w:r>
        <w:t>ие цемента с добавкой трепела, глиежа, трассов, глинита, опоки.</w:t>
      </w:r>
    </w:p>
    <w:p w:rsidR="00000000" w:rsidRDefault="00515C2D">
      <w:pPr>
        <w:ind w:firstLine="426"/>
        <w:jc w:val="both"/>
      </w:pPr>
      <w:r>
        <w:t>4.4.7 В качестве кремнеземистого компонента для приготовления неопорбетона следует применять:</w:t>
      </w:r>
    </w:p>
    <w:p w:rsidR="00000000" w:rsidRDefault="00515C2D">
      <w:pPr>
        <w:ind w:firstLine="426"/>
        <w:jc w:val="both"/>
      </w:pPr>
      <w:r>
        <w:t xml:space="preserve">а) природные и дробленые кварцевые пески, удовлетворяющие требованиям </w:t>
      </w:r>
      <w:hyperlink r:id="rId95" w:history="1">
        <w:r>
          <w:rPr>
            <w:rStyle w:val="a3"/>
            <w:color w:val="0000FF"/>
            <w:u w:val="single"/>
          </w:rPr>
          <w:t>СТ РК EN 12620</w:t>
        </w:r>
      </w:hyperlink>
      <w:r>
        <w:t xml:space="preserve">, </w:t>
      </w:r>
      <w:hyperlink r:id="rId96" w:history="1">
        <w:r>
          <w:rPr>
            <w:rStyle w:val="a3"/>
            <w:color w:val="0000FF"/>
            <w:u w:val="single"/>
          </w:rPr>
          <w:t>ГОСТ 8736</w:t>
        </w:r>
      </w:hyperlink>
      <w:r>
        <w:t>, с содержанием кремнезема не менее 90%. В песке допускается присутствие: слюды не более 0,5%, глины и ила - не более 3%, если гл</w:t>
      </w:r>
      <w:r>
        <w:t>инистые частицы представлены минералами с устойчивой кристаллической решеткой (типа каолинита), и не более 1%, если они содержат минералы типа монтмориллонита;</w:t>
      </w:r>
    </w:p>
    <w:p w:rsidR="00000000" w:rsidRDefault="00515C2D">
      <w:pPr>
        <w:ind w:firstLine="426"/>
        <w:jc w:val="both"/>
      </w:pPr>
      <w:r>
        <w:t xml:space="preserve">б) кислую золу-унос ТЭС с электрофильтров от сжигания углей, удовлетворяющую требованиям </w:t>
      </w:r>
      <w:hyperlink r:id="rId97" w:history="1">
        <w:r>
          <w:rPr>
            <w:rStyle w:val="a3"/>
            <w:color w:val="0000FF"/>
            <w:u w:val="single"/>
          </w:rPr>
          <w:t>ГОСТ 25818</w:t>
        </w:r>
      </w:hyperlink>
      <w:r>
        <w:t>, которая должна иметь потери при прокаливании не более 3%, содержание сернистых и сернокислых соединений в пересчете на SO</w:t>
      </w:r>
      <w:r>
        <w:rPr>
          <w:vertAlign w:val="subscript"/>
        </w:rPr>
        <w:t>3</w:t>
      </w:r>
      <w:r>
        <w:t xml:space="preserve"> не должно быть более 3%, в том числе сульфидной серы - не более</w:t>
      </w:r>
      <w:r>
        <w:t xml:space="preserve"> 1 % по массе.</w:t>
      </w:r>
    </w:p>
    <w:p w:rsidR="00000000" w:rsidRDefault="00515C2D">
      <w:pPr>
        <w:ind w:firstLine="426"/>
        <w:jc w:val="both"/>
      </w:pPr>
      <w:r>
        <w:t>Зола должна иметь удельную поверхность не менее 5000 см</w:t>
      </w:r>
      <w:r>
        <w:rPr>
          <w:vertAlign w:val="superscript"/>
        </w:rPr>
        <w:t>2</w:t>
      </w:r>
      <w:r>
        <w:t>/г. Содержание щелочных оксидов натрия и калия в пересчете на Na</w:t>
      </w:r>
      <w:r>
        <w:rPr>
          <w:vertAlign w:val="subscript"/>
        </w:rPr>
        <w:t>2</w:t>
      </w:r>
      <w:r>
        <w:t>О должно быть не более 3% по массе, содержание оксида магния в зольной составляющей должно быть не более 5% по массе;</w:t>
      </w:r>
    </w:p>
    <w:p w:rsidR="00000000" w:rsidRDefault="00515C2D">
      <w:pPr>
        <w:ind w:firstLine="426"/>
        <w:jc w:val="both"/>
      </w:pPr>
      <w:r>
        <w:t>в)</w:t>
      </w:r>
      <w:r>
        <w:t xml:space="preserve"> песок керамзитовый, соответствующий </w:t>
      </w:r>
      <w:hyperlink r:id="rId98" w:history="1">
        <w:r>
          <w:rPr>
            <w:rStyle w:val="a3"/>
            <w:color w:val="0000FF"/>
            <w:u w:val="single"/>
          </w:rPr>
          <w:t>СТ РК 948</w:t>
        </w:r>
      </w:hyperlink>
      <w:r>
        <w:t>, с модулем крупности (М</w:t>
      </w:r>
      <w:r>
        <w:rPr>
          <w:vertAlign w:val="subscript"/>
        </w:rPr>
        <w:t>к</w:t>
      </w:r>
      <w:r>
        <w:t>) не более 2,5 для неопорбетона средней плотности от 800 до 1100 кг/м</w:t>
      </w:r>
      <w:r>
        <w:rPr>
          <w:vertAlign w:val="superscript"/>
        </w:rPr>
        <w:t>3</w:t>
      </w:r>
      <w:r>
        <w:t xml:space="preserve"> и 2,0 для неопорбетона средней плотности ниже 800</w:t>
      </w:r>
      <w:r>
        <w:t xml:space="preserve">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t xml:space="preserve">г) песок вермикулитовый по </w:t>
      </w:r>
      <w:hyperlink r:id="rId99" w:history="1">
        <w:r>
          <w:rPr>
            <w:rStyle w:val="a3"/>
            <w:color w:val="0000FF"/>
            <w:u w:val="single"/>
          </w:rPr>
          <w:t>ГОСТ 12865</w:t>
        </w:r>
      </w:hyperlink>
      <w:r>
        <w:t xml:space="preserve"> с модулем крупности (М</w:t>
      </w:r>
      <w:r>
        <w:rPr>
          <w:vertAlign w:val="subscript"/>
        </w:rPr>
        <w:t>к</w:t>
      </w:r>
      <w:r>
        <w:t>) не более 2,5, имеющий водопотребность не более 16%.</w:t>
      </w:r>
    </w:p>
    <w:p w:rsidR="00000000" w:rsidRDefault="00515C2D">
      <w:pPr>
        <w:ind w:firstLine="426"/>
        <w:jc w:val="both"/>
      </w:pPr>
      <w:r>
        <w:t xml:space="preserve">4.4.8 Оптимальный расход воды для неопорбетона с выбранным зерновым </w:t>
      </w:r>
      <w:r>
        <w:t>составом и расходом цемента складывается из расчетного количества, необходимого для затворения раствора, и воды, содержащейся в пене.</w:t>
      </w:r>
    </w:p>
    <w:p w:rsidR="00000000" w:rsidRDefault="00515C2D">
      <w:pPr>
        <w:ind w:firstLine="426"/>
        <w:jc w:val="both"/>
      </w:pPr>
      <w:r>
        <w:t>4.4.9 Перед добавлением пены водоцементное отношение раствора должно составлять не менее 0,35.</w:t>
      </w:r>
    </w:p>
    <w:p w:rsidR="00000000" w:rsidRDefault="00515C2D">
      <w:pPr>
        <w:ind w:firstLine="426"/>
        <w:jc w:val="both"/>
      </w:pPr>
      <w:r>
        <w:t>4.4.10 Оптимальное водоцеме</w:t>
      </w:r>
      <w:r>
        <w:t>нтное отношение должно находиться в пределах от 0,40 до 0,45.</w:t>
      </w:r>
    </w:p>
    <w:p w:rsidR="00000000" w:rsidRDefault="00515C2D">
      <w:pPr>
        <w:ind w:firstLine="426"/>
        <w:jc w:val="both"/>
      </w:pPr>
      <w:r>
        <w:t xml:space="preserve">4.4.11 Рекомендуется применять воду по </w:t>
      </w:r>
      <w:hyperlink r:id="rId100" w:history="1">
        <w:r>
          <w:rPr>
            <w:rStyle w:val="a3"/>
            <w:color w:val="0000FF"/>
            <w:u w:val="single"/>
          </w:rPr>
          <w:t>СТ РК ISO 12439</w:t>
        </w:r>
      </w:hyperlink>
      <w:r>
        <w:t xml:space="preserve">, </w:t>
      </w:r>
      <w:hyperlink r:id="rId101" w:history="1">
        <w:r>
          <w:rPr>
            <w:rStyle w:val="a3"/>
            <w:color w:val="0000FF"/>
            <w:u w:val="single"/>
          </w:rPr>
          <w:t>ГОСТ 237</w:t>
        </w:r>
        <w:r>
          <w:rPr>
            <w:rStyle w:val="a3"/>
            <w:color w:val="0000FF"/>
            <w:u w:val="single"/>
          </w:rPr>
          <w:t>32</w:t>
        </w:r>
      </w:hyperlink>
      <w:r>
        <w:t>. Температура воды для пены должна быть не выше 25°С.</w:t>
      </w:r>
    </w:p>
    <w:p w:rsidR="00000000" w:rsidRDefault="00515C2D">
      <w:pPr>
        <w:ind w:firstLine="426"/>
        <w:jc w:val="both"/>
      </w:pPr>
      <w:r>
        <w:t>4.4.12 Возможность применения любой другой воды следует определять сравнительными испытаниями пены, цементного теста и образцов из неопорбетона, приготовленных на испытываемой и питьевой воде.</w:t>
      </w:r>
    </w:p>
    <w:p w:rsidR="00000000" w:rsidRDefault="00515C2D">
      <w:pPr>
        <w:ind w:firstLine="426"/>
        <w:jc w:val="both"/>
      </w:pPr>
      <w:r>
        <w:t>4.4.13 Регуляторы структурообразования, нарастания пластической прочности, ускорители твердения и пластифицирующие добавки должны соответствовать требованиям нормативных документов.</w:t>
      </w:r>
    </w:p>
    <w:p w:rsidR="00000000" w:rsidRDefault="00515C2D">
      <w:pPr>
        <w:ind w:firstLine="426"/>
        <w:jc w:val="both"/>
      </w:pPr>
      <w:r>
        <w:t>4.4.14Рекомендуемое количество микрокремнезема в составе неопорбетонной см</w:t>
      </w:r>
      <w:r>
        <w:t>еси должно составлять не менее 5% и не более 7% от массы цемента, добавка ускоритель твердения Na</w:t>
      </w:r>
      <w:r>
        <w:rPr>
          <w:vertAlign w:val="subscript"/>
        </w:rPr>
        <w:t>2</w:t>
      </w:r>
      <w:r>
        <w:t>SO</w:t>
      </w:r>
      <w:r>
        <w:rPr>
          <w:vertAlign w:val="subscript"/>
        </w:rPr>
        <w:t>4</w:t>
      </w:r>
      <w:r>
        <w:t xml:space="preserve"> и Са(NO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2</w:t>
      </w:r>
      <w:r>
        <w:t xml:space="preserve"> в составе цемента применяется в количестве не более 2%.</w:t>
      </w:r>
    </w:p>
    <w:p w:rsidR="00000000" w:rsidRDefault="00515C2D">
      <w:pPr>
        <w:ind w:firstLine="426"/>
        <w:jc w:val="both"/>
      </w:pPr>
      <w:r>
        <w:t xml:space="preserve">4.4.15 Показатели качества добавок проверяют по </w:t>
      </w:r>
      <w:hyperlink r:id="rId102" w:history="1">
        <w:r>
          <w:rPr>
            <w:rStyle w:val="a3"/>
            <w:color w:val="0000FF"/>
            <w:u w:val="single"/>
          </w:rPr>
          <w:t>ГОСТ 24211</w:t>
        </w:r>
      </w:hyperlink>
      <w:r>
        <w:t>. Расход химических добавок в ПАВ должен назначаться в зависимости от вида вяжущего и уточняться опытным путем.</w:t>
      </w:r>
    </w:p>
    <w:p w:rsidR="00000000" w:rsidRDefault="00515C2D">
      <w:pPr>
        <w:ind w:firstLine="426"/>
        <w:jc w:val="both"/>
      </w:pPr>
      <w:r>
        <w:t xml:space="preserve">4.4.16 Арматура для изделий из неопорбетона должна удовлетворять требованиям </w:t>
      </w:r>
      <w:hyperlink r:id="rId103" w:history="1">
        <w:r>
          <w:rPr>
            <w:rStyle w:val="a3"/>
            <w:color w:val="0000FF"/>
            <w:u w:val="single"/>
          </w:rPr>
          <w:t>СТ РК EN 10080</w:t>
        </w:r>
      </w:hyperlink>
      <w:r>
        <w:t xml:space="preserve"> (периодического профиля), </w:t>
      </w:r>
      <w:hyperlink r:id="rId104" w:history="1">
        <w:r>
          <w:rPr>
            <w:rStyle w:val="a3"/>
            <w:color w:val="0000FF"/>
            <w:u w:val="single"/>
          </w:rPr>
          <w:t>ГОСТ 10922</w:t>
        </w:r>
      </w:hyperlink>
      <w:r>
        <w:t xml:space="preserve"> </w:t>
      </w:r>
      <w:r>
        <w:t>или положениям соответствующих разделов СТ РК EN 10025-1 (гладкие стержни).</w:t>
      </w:r>
    </w:p>
    <w:p w:rsidR="00000000" w:rsidRDefault="00515C2D">
      <w:pPr>
        <w:ind w:firstLine="426"/>
        <w:jc w:val="both"/>
      </w:pPr>
      <w:r>
        <w:t xml:space="preserve">4.4.17 Для повышения долговечности в соответствии с </w:t>
      </w:r>
      <w:hyperlink r:id="rId105" w:history="1">
        <w:r>
          <w:rPr>
            <w:rStyle w:val="a3"/>
            <w:color w:val="0000FF"/>
            <w:u w:val="single"/>
          </w:rPr>
          <w:t>СП РК 2.01-101</w:t>
        </w:r>
      </w:hyperlink>
      <w:r>
        <w:t xml:space="preserve"> арматурные каркасы и сетки для бетонов плотность</w:t>
      </w:r>
      <w:r>
        <w:t>ю от 1200 до 1800 кг/м</w:t>
      </w:r>
      <w:r>
        <w:rPr>
          <w:vertAlign w:val="superscript"/>
        </w:rPr>
        <w:t>3</w:t>
      </w:r>
      <w:r>
        <w:t xml:space="preserve"> в изделиях необходимо защищать антикоррозионными покрытиями. Поверхности каркасов и сеток, перед нанесением покрытия, должны быть сухими, без следов ржавчины и масла.</w:t>
      </w:r>
    </w:p>
    <w:p w:rsidR="00000000" w:rsidRDefault="00515C2D">
      <w:pPr>
        <w:ind w:firstLine="426"/>
        <w:jc w:val="both"/>
      </w:pPr>
      <w:r>
        <w:t>4.4.18 В качестве антикоррозионных покрытий допускается применять</w:t>
      </w:r>
      <w:r>
        <w:t xml:space="preserve"> ингибиторы коррозии - лигносульфонаты, таннины, аминоспирты, а также порошковое покрытие соответствующих нормативным документам.</w:t>
      </w:r>
    </w:p>
    <w:p w:rsidR="00000000" w:rsidRDefault="00515C2D">
      <w:pPr>
        <w:ind w:firstLine="426"/>
        <w:jc w:val="both"/>
      </w:pPr>
      <w:r>
        <w:t xml:space="preserve">4.4.19 Вид и техническая характеристика покрытия должны соответствовать установленным проектом (согласно требованиям </w:t>
      </w:r>
      <w:hyperlink r:id="rId106" w:history="1">
        <w:r>
          <w:rPr>
            <w:rStyle w:val="a3"/>
            <w:color w:val="0000FF"/>
            <w:u w:val="single"/>
          </w:rPr>
          <w:t>СП РК 2.01-101</w:t>
        </w:r>
      </w:hyperlink>
      <w:r>
        <w:t>), указанным в заказе на изготовление изделий из неопорбетона.</w:t>
      </w:r>
    </w:p>
    <w:p w:rsidR="00000000" w:rsidRDefault="00515C2D">
      <w:pPr>
        <w:ind w:firstLine="426"/>
        <w:jc w:val="both"/>
      </w:pPr>
      <w:r>
        <w:t>4.4.20 При нарушении сплошности покрытия на каркасе поврежденные места должны защищаться повторно.</w:t>
      </w:r>
    </w:p>
    <w:p w:rsidR="00000000" w:rsidRDefault="00515C2D">
      <w:pPr>
        <w:ind w:firstLine="426"/>
        <w:jc w:val="both"/>
      </w:pPr>
      <w:r>
        <w:t xml:space="preserve">4.4.21 Закладные детали </w:t>
      </w:r>
      <w:r>
        <w:t xml:space="preserve">в изделиях должны быть защищены в соответствии с требованиями </w:t>
      </w:r>
      <w:hyperlink r:id="rId107" w:history="1">
        <w:r>
          <w:rPr>
            <w:rStyle w:val="a3"/>
            <w:color w:val="0000FF"/>
            <w:u w:val="single"/>
          </w:rPr>
          <w:t>СП РК 2.01-101</w:t>
        </w:r>
      </w:hyperlink>
      <w:r>
        <w:t xml:space="preserve"> и с указаниями в рабочих чертежах на изделие.</w:t>
      </w:r>
    </w:p>
    <w:p w:rsidR="00000000" w:rsidRDefault="00515C2D">
      <w:pPr>
        <w:ind w:firstLine="426"/>
        <w:jc w:val="both"/>
      </w:pPr>
      <w:r>
        <w:t>4.4.22 В качестве пенообразователя для получения бетона с ячеистой с</w:t>
      </w:r>
      <w:r>
        <w:t>труктурой применяется пеноконцентрат «Неопор» марок 400 и 600. Пеноконцентрат «Неопор-400» используется для неармированного, «Неопор-600» для армированного неопорбетона.</w:t>
      </w:r>
    </w:p>
    <w:p w:rsidR="00000000" w:rsidRDefault="00515C2D">
      <w:pPr>
        <w:ind w:firstLine="426"/>
        <w:jc w:val="both"/>
      </w:pPr>
      <w:r>
        <w:t>4.4.23 Устойчивость пены в помещениях с нормальной температурой (25 ± 5)°С и влажность</w:t>
      </w:r>
      <w:r>
        <w:t>ю (65 ± 5)% должна сохраняться не менее 12 ч.</w:t>
      </w:r>
    </w:p>
    <w:p w:rsidR="00000000" w:rsidRDefault="00515C2D">
      <w:pPr>
        <w:ind w:firstLine="426"/>
        <w:jc w:val="both"/>
      </w:pPr>
      <w:r>
        <w:t>4.4.24 Не допускается смешения пены с масляными включениями.</w:t>
      </w:r>
    </w:p>
    <w:p w:rsidR="00000000" w:rsidRDefault="00515C2D">
      <w:pPr>
        <w:ind w:firstLine="426"/>
        <w:jc w:val="both"/>
      </w:pPr>
      <w:r>
        <w:t>4.4.25 Пена должна удовлетворять требованиям, приведенным в таблице 1.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Таблица 1 - Основные свойства пены Неопор</w:t>
      </w:r>
    </w:p>
    <w:p w:rsidR="00000000" w:rsidRDefault="00515C2D">
      <w:pPr>
        <w:ind w:firstLine="426"/>
        <w:jc w:val="center"/>
      </w:pPr>
      <w:r>
        <w:t> </w:t>
      </w:r>
    </w:p>
    <w:tbl>
      <w:tblPr>
        <w:tblW w:w="0" w:type="auto"/>
        <w:tblInd w:w="-37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6"/>
        <w:gridCol w:w="2995"/>
      </w:tblGrid>
      <w:tr w:rsidR="00000000">
        <w:trPr>
          <w:trHeight w:val="20"/>
        </w:trPr>
        <w:tc>
          <w:tcPr>
            <w:tcW w:w="99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Свойства пены</w:t>
            </w:r>
          </w:p>
        </w:tc>
        <w:tc>
          <w:tcPr>
            <w:tcW w:w="2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Показатели свойств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15C2D"/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концентрация, 2,5%</w:t>
            </w:r>
          </w:p>
        </w:tc>
      </w:tr>
      <w:tr w:rsidR="00000000">
        <w:trPr>
          <w:trHeight w:val="20"/>
        </w:trPr>
        <w:tc>
          <w:tcPr>
            <w:tcW w:w="9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Кратность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до 24</w:t>
            </w:r>
          </w:p>
        </w:tc>
      </w:tr>
      <w:tr w:rsidR="00000000">
        <w:trPr>
          <w:trHeight w:val="20"/>
        </w:trPr>
        <w:tc>
          <w:tcPr>
            <w:tcW w:w="9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Плотность, г/л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от 50 до 110</w:t>
            </w:r>
          </w:p>
        </w:tc>
      </w:tr>
      <w:tr w:rsidR="00000000">
        <w:trPr>
          <w:trHeight w:val="20"/>
        </w:trPr>
        <w:tc>
          <w:tcPr>
            <w:tcW w:w="9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Время осадки пены на 1 см, ч-мин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до 2-30</w:t>
            </w:r>
          </w:p>
        </w:tc>
      </w:tr>
      <w:tr w:rsidR="00000000">
        <w:trPr>
          <w:trHeight w:val="20"/>
        </w:trPr>
        <w:tc>
          <w:tcPr>
            <w:tcW w:w="9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Отход жидкости из пены, % к общему объему внутри пленочной жидкости за 50 мин.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до 50</w:t>
            </w:r>
          </w:p>
        </w:tc>
      </w:tr>
      <w:tr w:rsidR="00000000">
        <w:trPr>
          <w:trHeight w:val="20"/>
        </w:trPr>
        <w:tc>
          <w:tcPr>
            <w:tcW w:w="99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Коэффициент использования пенообразователя, α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не менее 1,0</w:t>
            </w:r>
          </w:p>
        </w:tc>
      </w:tr>
    </w:tbl>
    <w:p w:rsidR="00000000" w:rsidRDefault="00515C2D">
      <w:pPr>
        <w:ind w:firstLine="426"/>
      </w:pPr>
      <w:r>
        <w:rPr>
          <w:b/>
          <w:bCs/>
        </w:rPr>
        <w:t> </w:t>
      </w:r>
    </w:p>
    <w:p w:rsidR="00000000" w:rsidRDefault="00515C2D">
      <w:pPr>
        <w:ind w:firstLine="426"/>
        <w:jc w:val="both"/>
      </w:pPr>
      <w:r>
        <w:rPr>
          <w:b/>
          <w:bCs/>
        </w:rPr>
        <w:t>4.5 Подбор состава неопорбетона</w:t>
      </w:r>
    </w:p>
    <w:p w:rsidR="00000000" w:rsidRDefault="00515C2D">
      <w:pPr>
        <w:ind w:firstLine="426"/>
        <w:jc w:val="both"/>
      </w:pPr>
      <w:r>
        <w:t>4.5.1 Подбор состава неопорбетона должен обеспечивать изделиям заданные физи</w:t>
      </w:r>
      <w:r>
        <w:t>ко-механические и эксплуатационные характеристики при оптимальном расходе исходных компонентов. Для подбора составов неопорбетона следует задавать следующие проектные характеристики: марка (класс) по прочности, средняя плотность, теплопроводность, деформат</w:t>
      </w:r>
      <w:r>
        <w:t>ивные свойства, морозостойкость, условия твердения и характер эксплуатации.</w:t>
      </w:r>
    </w:p>
    <w:p w:rsidR="00000000" w:rsidRDefault="00515C2D">
      <w:pPr>
        <w:ind w:firstLine="426"/>
        <w:jc w:val="both"/>
      </w:pPr>
      <w:r>
        <w:t>Подбор состава неопорбетона включает определение физико-механических свойств исходных материалов в соответствии со стандартами, расчет неопорбетонной смеси, приготовление пены из п</w:t>
      </w:r>
      <w:r>
        <w:t>еноконцентрата Неопор, уточнение составов неопорбетона по пробным замесам и изготовление и испытание контрольных образцов.</w:t>
      </w:r>
    </w:p>
    <w:p w:rsidR="00000000" w:rsidRDefault="00515C2D">
      <w:pPr>
        <w:ind w:firstLine="426"/>
        <w:jc w:val="both"/>
      </w:pPr>
      <w:r>
        <w:t xml:space="preserve">4.5.2 Подбор состава по </w:t>
      </w:r>
      <w:hyperlink r:id="rId108" w:history="1">
        <w:r>
          <w:rPr>
            <w:rStyle w:val="a3"/>
            <w:color w:val="0000FF"/>
            <w:u w:val="single"/>
          </w:rPr>
          <w:t>ГОСТ 27006</w:t>
        </w:r>
      </w:hyperlink>
      <w:r>
        <w:t xml:space="preserve"> производится в следующей последов</w:t>
      </w:r>
      <w:r>
        <w:t>ательности:</w:t>
      </w:r>
    </w:p>
    <w:p w:rsidR="00000000" w:rsidRDefault="00515C2D">
      <w:pPr>
        <w:ind w:firstLine="426"/>
        <w:jc w:val="both"/>
      </w:pPr>
      <w:r>
        <w:t>- определяется соотношение воды и пенообразователя для получения пены;</w:t>
      </w:r>
    </w:p>
    <w:p w:rsidR="00000000" w:rsidRDefault="00515C2D">
      <w:pPr>
        <w:ind w:firstLine="426"/>
        <w:jc w:val="both"/>
      </w:pPr>
      <w:r>
        <w:t>- определяется содержание вяжущего и наполнителя для приготовления раствора;</w:t>
      </w:r>
    </w:p>
    <w:p w:rsidR="00000000" w:rsidRDefault="00515C2D">
      <w:pPr>
        <w:ind w:firstLine="426"/>
        <w:jc w:val="both"/>
      </w:pPr>
      <w:r>
        <w:t>- подбирается соотношение воды и минеральной части раствора;</w:t>
      </w:r>
    </w:p>
    <w:p w:rsidR="00000000" w:rsidRDefault="00515C2D">
      <w:pPr>
        <w:ind w:firstLine="426"/>
        <w:jc w:val="both"/>
      </w:pPr>
      <w:r>
        <w:t>- рассчитывается расход составляющих материалов на 1 м</w:t>
      </w:r>
      <w:r>
        <w:rPr>
          <w:vertAlign w:val="superscript"/>
        </w:rPr>
        <w:t>3</w:t>
      </w:r>
      <w:r>
        <w:t xml:space="preserve"> неопорбетона.</w:t>
      </w:r>
    </w:p>
    <w:p w:rsidR="00000000" w:rsidRDefault="00515C2D">
      <w:pPr>
        <w:ind w:firstLine="426"/>
        <w:jc w:val="both"/>
      </w:pPr>
      <w:r>
        <w:t xml:space="preserve">4.5.3 Расчет состава неопорбетона производится по следующей методике: </w:t>
      </w:r>
    </w:p>
    <w:p w:rsidR="00000000" w:rsidRDefault="00515C2D">
      <w:pPr>
        <w:ind w:firstLine="426"/>
        <w:jc w:val="both"/>
      </w:pPr>
      <w:r>
        <w:t>Расход материалов на 1 м</w:t>
      </w:r>
      <w:r>
        <w:rPr>
          <w:vertAlign w:val="superscript"/>
        </w:rPr>
        <w:t>3</w:t>
      </w:r>
      <w:r>
        <w:t xml:space="preserve"> бетона определяют по формула</w:t>
      </w:r>
      <w:r>
        <w:t>м:</w:t>
      </w:r>
    </w:p>
    <w:p w:rsidR="00000000" w:rsidRDefault="00515C2D">
      <w:pPr>
        <w:ind w:firstLine="426"/>
        <w:jc w:val="both"/>
      </w:pPr>
      <w:r>
        <w:t>Общий расход сухих материалов: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057275" cy="438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9" r:link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Расход вяжущего: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971550" cy="428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1" r:link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(2)</w:t>
      </w:r>
    </w:p>
    <w:p w:rsidR="00000000" w:rsidRDefault="00515C2D">
      <w:pPr>
        <w:ind w:firstLine="426"/>
      </w:pPr>
      <w:r>
        <w:t>Расход песка: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= 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· С</w:t>
      </w:r>
      <w:r>
        <w:t>,      (3)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Расход воды: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</w:rPr>
        <w:t>Р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= (Р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+ Р</w:t>
      </w:r>
      <w:r>
        <w:rPr>
          <w:i/>
          <w:iCs/>
          <w:vertAlign w:val="subscript"/>
        </w:rPr>
        <w:t>п</w:t>
      </w:r>
      <w:r>
        <w:rPr>
          <w:i/>
          <w:iCs/>
        </w:rPr>
        <w:t>)·В/Т</w:t>
      </w:r>
      <w:r>
        <w:t>,    (4</w:t>
      </w:r>
      <w:r>
        <w:t>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Расход пеноконцентрата: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14450" cy="381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3" r:link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 (5)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Пористость неопорбетона определяют по формуле: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943100" cy="4095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5" r:link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 (6)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Среднюю плотность неопорбетонной смеси определяют по формуле:</w:t>
      </w:r>
    </w:p>
    <w:p w:rsidR="00000000" w:rsidRDefault="00515C2D">
      <w:pPr>
        <w:ind w:firstLine="426"/>
      </w:pPr>
      <w:r>
        <w:rPr>
          <w:i/>
          <w:iCs/>
        </w:rP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43050" cy="3905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7" r:link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(7)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Среднюю плотность исходной растворной смеси без добавки пены определяют по формуле: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476375" cy="4762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9" r:link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(8)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</w:pPr>
      <w:r>
        <w:t>Истинный (абсолютный) объем сухой смеси на 1 м</w:t>
      </w:r>
      <w:r>
        <w:rPr>
          <w:vertAlign w:val="superscript"/>
        </w:rPr>
        <w:t>3</w:t>
      </w:r>
      <w:r>
        <w:t xml:space="preserve"> определяют по формуле: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524000" cy="4857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(9)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both"/>
      </w:pPr>
      <w:r>
        <w:t xml:space="preserve">Условные </w:t>
      </w:r>
      <w:r>
        <w:t>обозначения в формулах (1-9):</w:t>
      </w:r>
    </w:p>
    <w:p w:rsidR="00000000" w:rsidRDefault="00515C2D">
      <w:pPr>
        <w:ind w:firstLine="426"/>
        <w:jc w:val="both"/>
      </w:pPr>
      <w:r>
        <w:t xml:space="preserve">где </w:t>
      </w:r>
      <w:r>
        <w:rPr>
          <w:i/>
          <w:iCs/>
        </w:rPr>
        <w:t>Р</w:t>
      </w:r>
      <w:r>
        <w:rPr>
          <w:i/>
          <w:iCs/>
          <w:vertAlign w:val="subscript"/>
        </w:rPr>
        <w:t xml:space="preserve">сух </w:t>
      </w:r>
      <w:r>
        <w:t>- общий расход сухих материалов,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вяж</w:t>
      </w:r>
      <w:r>
        <w:rPr>
          <w:i/>
          <w:iCs/>
        </w:rPr>
        <w:t xml:space="preserve"> - </w:t>
      </w:r>
      <w:r>
        <w:t>расход вяжущего на 1 м</w:t>
      </w:r>
      <w:r>
        <w:rPr>
          <w:vertAlign w:val="superscript"/>
        </w:rPr>
        <w:t>3</w:t>
      </w:r>
      <w:r>
        <w:t xml:space="preserve"> смеси;</w:t>
      </w:r>
    </w:p>
    <w:p w:rsidR="00000000" w:rsidRDefault="00515C2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сух</w:t>
      </w:r>
      <w:r>
        <w:rPr>
          <w:i/>
          <w:iCs/>
        </w:rPr>
        <w:t xml:space="preserve"> - </w:t>
      </w:r>
      <w:r>
        <w:t>заданная средняя плотность неопорбетона в сухом состоянии, кг/м</w:t>
      </w:r>
      <w:r>
        <w:rPr>
          <w:vertAlign w:val="superscript"/>
        </w:rPr>
        <w:t>3</w:t>
      </w:r>
      <w:r>
        <w:t xml:space="preserve"> или кг/л;</w:t>
      </w:r>
    </w:p>
    <w:p w:rsidR="00000000" w:rsidRDefault="00515C2D">
      <w:pPr>
        <w:ind w:firstLine="426"/>
        <w:jc w:val="both"/>
      </w:pPr>
      <w:r>
        <w:rPr>
          <w:i/>
          <w:iCs/>
        </w:rPr>
        <w:t xml:space="preserve">V - </w:t>
      </w:r>
      <w:r>
        <w:t>объем пробного замеса, л;</w:t>
      </w:r>
    </w:p>
    <w:p w:rsidR="00000000" w:rsidRDefault="00515C2D">
      <w:pPr>
        <w:ind w:firstLine="426"/>
        <w:jc w:val="both"/>
      </w:pPr>
      <w:r>
        <w:rPr>
          <w:i/>
          <w:iCs/>
        </w:rPr>
        <w:t>К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коэффициент количества</w:t>
      </w:r>
      <w:r>
        <w:t xml:space="preserve"> химически связанной воды по отношению к массе сухих компонентов смеси (цемент и песок). Для предварительных расчетов </w:t>
      </w:r>
      <w:r>
        <w:rPr>
          <w:i/>
          <w:iCs/>
        </w:rPr>
        <w:t>К</w:t>
      </w:r>
      <w:r>
        <w:rPr>
          <w:i/>
          <w:iCs/>
          <w:vertAlign w:val="subscript"/>
        </w:rPr>
        <w:t xml:space="preserve">с </w:t>
      </w:r>
      <w:r>
        <w:rPr>
          <w:i/>
          <w:iCs/>
        </w:rPr>
        <w:t xml:space="preserve">= </w:t>
      </w:r>
      <w:r>
        <w:t>1,1;</w:t>
      </w:r>
    </w:p>
    <w:p w:rsidR="00000000" w:rsidRDefault="00515C2D">
      <w:pPr>
        <w:ind w:firstLine="426"/>
        <w:jc w:val="both"/>
      </w:pPr>
      <w:r>
        <w:rPr>
          <w:i/>
          <w:iCs/>
        </w:rPr>
        <w:t xml:space="preserve">С - </w:t>
      </w:r>
      <w:r>
        <w:t>отношение массы песка к массе цемента;</w:t>
      </w:r>
    </w:p>
    <w:p w:rsidR="00000000" w:rsidRDefault="00515C2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n</w:t>
      </w:r>
      <w:r>
        <w:rPr>
          <w:i/>
          <w:iCs/>
        </w:rPr>
        <w:t xml:space="preserve"> - </w:t>
      </w:r>
      <w:r>
        <w:t>расход песка, кг;</w:t>
      </w:r>
    </w:p>
    <w:p w:rsidR="00000000" w:rsidRDefault="00515C2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>расход воды, л;</w:t>
      </w:r>
    </w:p>
    <w:p w:rsidR="00000000" w:rsidRDefault="00515C2D">
      <w:pPr>
        <w:ind w:firstLine="426"/>
        <w:jc w:val="both"/>
      </w:pPr>
      <w:r>
        <w:rPr>
          <w:i/>
          <w:iCs/>
        </w:rPr>
        <w:t xml:space="preserve">В/Т - </w:t>
      </w:r>
      <w:r>
        <w:t>водотвердое отношение;</w:t>
      </w:r>
    </w:p>
    <w:p w:rsidR="00000000" w:rsidRDefault="00515C2D">
      <w:pPr>
        <w:ind w:firstLine="426"/>
        <w:jc w:val="both"/>
      </w:pPr>
      <w:r>
        <w:rPr>
          <w:i/>
          <w:iCs/>
        </w:rPr>
        <w:t>Р</w:t>
      </w:r>
      <w:r>
        <w:rPr>
          <w:i/>
          <w:iCs/>
          <w:vertAlign w:val="subscript"/>
        </w:rPr>
        <w:t>пк(по)</w:t>
      </w:r>
      <w:r>
        <w:rPr>
          <w:i/>
          <w:iCs/>
        </w:rPr>
        <w:t xml:space="preserve"> - </w:t>
      </w:r>
      <w:r>
        <w:t>ра</w:t>
      </w:r>
      <w:r>
        <w:t>сход пеноконцентрата (пенообразователя), кг;</w:t>
      </w:r>
    </w:p>
    <w:p w:rsidR="00000000" w:rsidRDefault="00515C2D">
      <w:pPr>
        <w:ind w:firstLine="426"/>
        <w:jc w:val="both"/>
      </w:pPr>
      <w:r>
        <w:rPr>
          <w:i/>
          <w:iCs/>
        </w:rPr>
        <w:t>П</w:t>
      </w:r>
      <w:r>
        <w:rPr>
          <w:i/>
          <w:iCs/>
          <w:vertAlign w:val="subscript"/>
        </w:rPr>
        <w:t>я</w:t>
      </w:r>
      <w:r>
        <w:rPr>
          <w:i/>
          <w:iCs/>
        </w:rPr>
        <w:t xml:space="preserve"> - </w:t>
      </w:r>
      <w:r>
        <w:t>пористость неопорбетона в долях;</w:t>
      </w:r>
    </w:p>
    <w:p w:rsidR="00000000" w:rsidRDefault="00515C2D">
      <w:pPr>
        <w:ind w:firstLine="426"/>
        <w:jc w:val="both"/>
      </w:pPr>
      <w:r>
        <w:rPr>
          <w:i/>
          <w:iCs/>
        </w:rPr>
        <w:t xml:space="preserve">α - </w:t>
      </w:r>
      <w:r>
        <w:t>коэффициент использования порообразующей способности пенообразователя принимается от 0,8 до 0,85;</w:t>
      </w:r>
    </w:p>
    <w:p w:rsidR="00000000" w:rsidRDefault="00515C2D">
      <w:pPr>
        <w:ind w:firstLine="426"/>
        <w:jc w:val="both"/>
      </w:pPr>
      <w:r>
        <w:rPr>
          <w:i/>
          <w:iCs/>
        </w:rPr>
        <w:t xml:space="preserve">К - </w:t>
      </w:r>
      <w:r>
        <w:t>удельная порообразующая способность пеноконцентрата (выход пор), характеризующаяся отношением объема пены к массе пеноконцентрата, л/кг;</w:t>
      </w:r>
    </w:p>
    <w:p w:rsidR="00000000" w:rsidRDefault="00515C2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абс</w:t>
      </w:r>
      <w:r>
        <w:rPr>
          <w:i/>
          <w:iCs/>
        </w:rPr>
        <w:t xml:space="preserve"> - </w:t>
      </w:r>
      <w:r>
        <w:t>истинный (абсолютный) объем единицы массы сухой смеси, л/кг или 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я</w:t>
      </w:r>
      <w:r>
        <w:rPr>
          <w:i/>
          <w:iCs/>
        </w:rPr>
        <w:t xml:space="preserve"> - </w:t>
      </w:r>
      <w:r>
        <w:t xml:space="preserve">средняя плотность неопорбетонной смеси </w:t>
      </w:r>
      <w:r>
        <w:t>в кг/л;</w:t>
      </w:r>
    </w:p>
    <w:p w:rsidR="00000000" w:rsidRDefault="00515C2D">
      <w:pPr>
        <w:ind w:firstLine="426"/>
        <w:jc w:val="both"/>
      </w:pPr>
      <w:r>
        <w:rPr>
          <w:i/>
          <w:iCs/>
        </w:rPr>
        <w:t>ρ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средняя плотность растворной смеси без добавки пенообразователя в кг/л.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4.5.4 Расчет состава неопорбетона предусматривает определение соотношения массы песка к массе цемента (С) по таблице 2.</w:t>
      </w:r>
    </w:p>
    <w:p w:rsidR="00000000" w:rsidRDefault="00515C2D">
      <w:pPr>
        <w:ind w:firstLine="426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 xml:space="preserve">Таблица 2 - Отношение песка к цементу по массе </w:t>
      </w:r>
      <w:r>
        <w:rPr>
          <w:rStyle w:val="s1"/>
        </w:rPr>
        <w:t>(С) для неопорбетона различной плотности</w:t>
      </w:r>
    </w:p>
    <w:p w:rsidR="00000000" w:rsidRDefault="00515C2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4640"/>
      </w:tblGrid>
      <w:tr w:rsidR="00000000">
        <w:trPr>
          <w:trHeight w:val="20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Средняя 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Значение С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0,2; 0,3; 0,4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600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0,2; 0,4; 0,6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800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0,6; 0,8; 1,0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1000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1,0; 1,2; 1,4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1200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1,4; 1,6; 1,8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1400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1,8, 2,0, 2,1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1600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2,2, 2,3, 2,5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1800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2,6, 2,8, 3,0</w:t>
            </w:r>
          </w:p>
        </w:tc>
      </w:tr>
    </w:tbl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4.5.5 Требуемое значение (С) следует устанавливать испытанием серии образцов из трех замесов при оптимальном водотвердом отношении - отношение массы воды к массе песка и цемента. Ориентировочное водотвердое отношение растворных смесей в зависимости от сред</w:t>
      </w:r>
      <w:r>
        <w:t>ней плотности неопорбетона принимают в соответствии с таблицей 3.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jc w:val="center"/>
      </w:pPr>
      <w:r>
        <w:rPr>
          <w:rStyle w:val="s1"/>
        </w:rPr>
        <w:t>Таблица 3 - Водотвердое отношение в зависимости от средней плотности</w:t>
      </w:r>
    </w:p>
    <w:p w:rsidR="00000000" w:rsidRDefault="00515C2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4633"/>
      </w:tblGrid>
      <w:tr w:rsidR="00000000">
        <w:trPr>
          <w:trHeight w:val="20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Средняя 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47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Водотвердое отношение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0,23; 0,25; 0,27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600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0,21; 0,23; 0,25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800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0,17; 0,21; 0,23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1000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0,15; 0,17; 0,19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1200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0,13; 0,14; 0,15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1400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0,13, 0,12, 0,11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1600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0,11, 0,10</w:t>
            </w:r>
          </w:p>
        </w:tc>
      </w:tr>
      <w:tr w:rsidR="00000000">
        <w:trPr>
          <w:trHeight w:val="2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1800</w:t>
            </w:r>
          </w:p>
        </w:tc>
        <w:tc>
          <w:tcPr>
            <w:tcW w:w="47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0,10</w:t>
            </w:r>
          </w:p>
        </w:tc>
      </w:tr>
    </w:tbl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4.5.6 Ориентировочный расход материалов в зависимости от плотности неопорбетона приведен в таблице 4.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Таблица 4 - Ориентировочный расход материалов в зависимости от плотности неопорбетона</w:t>
      </w:r>
    </w:p>
    <w:p w:rsidR="00000000" w:rsidRDefault="00515C2D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1642"/>
        <w:gridCol w:w="1628"/>
        <w:gridCol w:w="1137"/>
        <w:gridCol w:w="2053"/>
      </w:tblGrid>
      <w:tr w:rsidR="00000000">
        <w:trPr>
          <w:trHeight w:val="20"/>
        </w:trPr>
        <w:tc>
          <w:tcPr>
            <w:tcW w:w="29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Средняя плотность, 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66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Расход материалов на 1 м</w:t>
            </w:r>
            <w:r>
              <w:rPr>
                <w:vertAlign w:val="superscript"/>
              </w:rPr>
              <w:t>3</w:t>
            </w:r>
            <w:r>
              <w:t>,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15C2D"/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  <w:r>
              <w:t>цемент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песок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вода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пенообразователь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-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150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1,28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600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190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380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190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0,96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570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190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1200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770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140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1400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380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950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150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1600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1130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160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29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1330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170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0,23</w:t>
            </w:r>
          </w:p>
        </w:tc>
      </w:tr>
    </w:tbl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4.5.7 Корректировка состава неопорбетона должна производиться с учетом качества цемента, песка, золы и пенообразователя.</w:t>
      </w:r>
    </w:p>
    <w:p w:rsidR="00000000" w:rsidRDefault="00515C2D">
      <w:pPr>
        <w:ind w:firstLine="426"/>
        <w:jc w:val="both"/>
      </w:pPr>
      <w:r>
        <w:rPr>
          <w:b/>
          <w:bCs/>
        </w:rPr>
        <w:t>4.6Приготовление пены</w:t>
      </w:r>
    </w:p>
    <w:p w:rsidR="00000000" w:rsidRDefault="00515C2D">
      <w:pPr>
        <w:ind w:firstLine="426"/>
        <w:jc w:val="both"/>
      </w:pPr>
      <w:r>
        <w:t>4.6.1 Для приготовления пены используют пеногенераторы, изготовленные по лицензии фирмы «NEOPOR SYSTEM GmbH», пен</w:t>
      </w:r>
      <w:r>
        <w:t xml:space="preserve">огенераторы фирмы «Кунайстройсервис». Настройка пеногенератора приведена в соответствии с </w:t>
      </w:r>
      <w:hyperlink r:id="rId123" w:anchor="sub_id=2" w:history="1">
        <w:r>
          <w:rPr>
            <w:rStyle w:val="a3"/>
            <w:color w:val="0000FF"/>
            <w:u w:val="single"/>
          </w:rPr>
          <w:t>приложением Б</w:t>
        </w:r>
      </w:hyperlink>
      <w:r>
        <w:t>.</w:t>
      </w:r>
    </w:p>
    <w:p w:rsidR="00000000" w:rsidRDefault="00515C2D">
      <w:pPr>
        <w:ind w:firstLine="426"/>
        <w:jc w:val="both"/>
      </w:pPr>
      <w:r>
        <w:t>4.6.2 Предварительно пеноконцентрат следует развести водой в пропорции 1:40 в отдельной емкости.</w:t>
      </w:r>
    </w:p>
    <w:p w:rsidR="00000000" w:rsidRDefault="00515C2D">
      <w:pPr>
        <w:ind w:firstLine="426"/>
        <w:jc w:val="both"/>
      </w:pPr>
      <w:r>
        <w:t>4.6.3 Сначала следует залить воду с переливом через верх емкости (для смыва возможных масляных пятен), затем мерной кружкой следует добавить необходимое количе</w:t>
      </w:r>
      <w:r>
        <w:t>ство пеноконцентрата и произвести кратковременное перемешивание.</w:t>
      </w:r>
    </w:p>
    <w:p w:rsidR="00000000" w:rsidRDefault="00515C2D">
      <w:pPr>
        <w:ind w:firstLine="426"/>
        <w:jc w:val="both"/>
      </w:pPr>
      <w:r>
        <w:t>4.6.4 Разведенный концентрат всасывается из емкости насосом пеногенератора, вспенивается сжатым воздухом (от 7 до 8 бар) с помощью компрессора пеногенератора.</w:t>
      </w:r>
    </w:p>
    <w:p w:rsidR="00000000" w:rsidRDefault="00515C2D">
      <w:pPr>
        <w:ind w:firstLine="426"/>
        <w:jc w:val="both"/>
      </w:pPr>
      <w:r>
        <w:t>4.6.5 Объемная масса пены должна</w:t>
      </w:r>
      <w:r>
        <w:t xml:space="preserve"> составлять минимум 75 г/л и максимум 85 г/л. Приготовленную пену необходимо взвешивать и, при необходимости, корректировать состав.</w:t>
      </w:r>
    </w:p>
    <w:p w:rsidR="00000000" w:rsidRDefault="00515C2D">
      <w:pPr>
        <w:ind w:firstLine="426"/>
        <w:jc w:val="both"/>
      </w:pPr>
      <w:r>
        <w:t>4.6.6 Необходимое количество пены, в зависимости от требуемой плотности неопорбетона, устанавливается и дозированно выдаетс</w:t>
      </w:r>
      <w:r>
        <w:t>я с помощью таймера пеногенератора.</w:t>
      </w:r>
    </w:p>
    <w:p w:rsidR="00000000" w:rsidRDefault="00515C2D">
      <w:pPr>
        <w:ind w:firstLine="426"/>
        <w:jc w:val="both"/>
      </w:pPr>
      <w:r>
        <w:t>4.6.7 Высокая стабильность пены препятствует изменению объема во время смешивания, транспортировки, заливки и твердения бетона.</w:t>
      </w:r>
    </w:p>
    <w:p w:rsidR="00000000" w:rsidRDefault="00515C2D">
      <w:pPr>
        <w:ind w:firstLine="426"/>
        <w:jc w:val="both"/>
      </w:pPr>
      <w:r>
        <w:t>4.6.8 Основные свойства пена должна сохранять в течение от 8 до 12 ч.</w:t>
      </w:r>
    </w:p>
    <w:p w:rsidR="00000000" w:rsidRDefault="00515C2D">
      <w:pPr>
        <w:ind w:firstLine="426"/>
        <w:jc w:val="both"/>
      </w:pPr>
      <w:r>
        <w:t>4.6.9 Разведенный пено</w:t>
      </w:r>
      <w:r>
        <w:t>концентрат следует использовать в этот же день, в противном случае, в смесь необходимо добавить не разведенный пеноконцентрат в количестве 30% от доли пеноконцентрата в оставшейся смеси.</w:t>
      </w:r>
    </w:p>
    <w:p w:rsidR="00000000" w:rsidRDefault="00515C2D">
      <w:pPr>
        <w:ind w:firstLine="426"/>
        <w:jc w:val="both"/>
      </w:pPr>
      <w:r>
        <w:t>4.6.10 Следует учесть, что пена несовместима с жировыми, масляными вк</w:t>
      </w:r>
      <w:r>
        <w:t>лючениями и теплой водой (выше 25°С).</w:t>
      </w:r>
    </w:p>
    <w:p w:rsidR="00000000" w:rsidRDefault="00515C2D">
      <w:pPr>
        <w:ind w:firstLine="426"/>
        <w:jc w:val="both"/>
      </w:pPr>
      <w:r>
        <w:t>4.6.11 В случае попадания масел или каких-либо других, разрушающих пену веществ, в пеногенератор, его необходимо тщательно промыть (примерно 20 л) 10%-ным или 20%-ным раствором соляной кислоты, а затем таким же количес</w:t>
      </w:r>
      <w:r>
        <w:t>твом чистой воды.</w:t>
      </w:r>
    </w:p>
    <w:p w:rsidR="00000000" w:rsidRDefault="00515C2D">
      <w:pPr>
        <w:ind w:firstLine="426"/>
        <w:jc w:val="both"/>
      </w:pPr>
      <w:r>
        <w:rPr>
          <w:b/>
          <w:bCs/>
        </w:rPr>
        <w:t>4.7Приготовление неопорбетонной смеси</w:t>
      </w:r>
    </w:p>
    <w:p w:rsidR="00000000" w:rsidRDefault="00515C2D">
      <w:pPr>
        <w:ind w:firstLine="426"/>
        <w:jc w:val="both"/>
      </w:pPr>
      <w:r>
        <w:t>4.7.1 Для приготовления неопорбетонной смеси следует засыпать песок, добавить цемент и все перемешать до получения смеси однородного цвета.</w:t>
      </w:r>
    </w:p>
    <w:p w:rsidR="00000000" w:rsidRDefault="00515C2D">
      <w:pPr>
        <w:ind w:firstLine="426"/>
        <w:jc w:val="both"/>
      </w:pPr>
      <w:r>
        <w:t>4.7.2 Полученную смесь следует затворять водой в количестве,</w:t>
      </w:r>
      <w:r>
        <w:t xml:space="preserve"> соответствующем выбранной рецептуре.</w:t>
      </w:r>
    </w:p>
    <w:p w:rsidR="00000000" w:rsidRDefault="00515C2D">
      <w:pPr>
        <w:ind w:firstLine="426"/>
        <w:jc w:val="both"/>
      </w:pPr>
      <w:r>
        <w:t>4.7.3 Перемешивание необходимо продолжать до получения однородной пластичной массы.</w:t>
      </w:r>
    </w:p>
    <w:p w:rsidR="00000000" w:rsidRDefault="00515C2D">
      <w:pPr>
        <w:ind w:firstLine="426"/>
        <w:jc w:val="both"/>
      </w:pPr>
      <w:r>
        <w:t>4.7.4 Определенную порцию пены (согласно требуемой объемной плотности бетона) при помощи пеногенератора следует подавать по шлангу в с</w:t>
      </w:r>
      <w:r>
        <w:t>меситель, где в течение (примерно) 120 с её перемешивают с ранее приготовленной цементно-песчаной смесью.</w:t>
      </w:r>
    </w:p>
    <w:p w:rsidR="00000000" w:rsidRDefault="00515C2D">
      <w:pPr>
        <w:ind w:firstLine="426"/>
        <w:jc w:val="both"/>
      </w:pPr>
      <w:r>
        <w:t>4.7.5 Перед тем как использовать неопорбетонную смесь, необходимо проверить ее среднюю плотность. Отклонение фактической средней плотности от проектно</w:t>
      </w:r>
      <w:r>
        <w:t>й не должно превышать, в процентах:</w:t>
      </w:r>
    </w:p>
    <w:p w:rsidR="00000000" w:rsidRDefault="00515C2D">
      <w:pPr>
        <w:ind w:firstLine="426"/>
        <w:jc w:val="both"/>
      </w:pPr>
      <w:r>
        <w:t>- 10 - для неопорбетона с плотностью более 1200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t>- 15 - для неопорбетона с плотностью от 1000 до 1200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t>- 20 - для неопорбетона с плотностью менее 1000 кг/м</w:t>
      </w:r>
      <w:r>
        <w:rPr>
          <w:vertAlign w:val="superscript"/>
        </w:rPr>
        <w:t>3</w:t>
      </w:r>
      <w:r>
        <w:t>.</w:t>
      </w:r>
    </w:p>
    <w:p w:rsidR="00000000" w:rsidRDefault="00515C2D">
      <w:pPr>
        <w:ind w:firstLine="426"/>
        <w:jc w:val="both"/>
      </w:pPr>
      <w:r>
        <w:t>4.7.6 Расчетную среднюю плотность неопорбетонной с</w:t>
      </w:r>
      <w:r>
        <w:t>меси определяют по формуле:</w:t>
      </w:r>
    </w:p>
    <w:p w:rsidR="00000000" w:rsidRDefault="00515C2D">
      <w:pPr>
        <w:ind w:firstLine="426"/>
        <w:jc w:val="both"/>
      </w:pPr>
      <w:r>
        <w:rPr>
          <w:i/>
          <w:iCs/>
        </w:rPr>
        <w:t> </w:t>
      </w:r>
    </w:p>
    <w:p w:rsidR="00000000" w:rsidRDefault="00515C2D">
      <w:pPr>
        <w:ind w:firstLine="426"/>
        <w:jc w:val="center"/>
      </w:pPr>
      <w:r>
        <w:rPr>
          <w:i/>
          <w:iCs/>
        </w:rPr>
        <w:t>ρ</w:t>
      </w:r>
      <w:r>
        <w:rPr>
          <w:i/>
          <w:iCs/>
          <w:vertAlign w:val="subscript"/>
        </w:rPr>
        <w:t>рсп</w:t>
      </w:r>
      <w:r>
        <w:rPr>
          <w:i/>
          <w:iCs/>
        </w:rPr>
        <w:t xml:space="preserve"> = Ц+П+В+П</w:t>
      </w:r>
      <w:r>
        <w:rPr>
          <w:i/>
          <w:iCs/>
          <w:vertAlign w:val="subscript"/>
        </w:rPr>
        <w:t>1</w:t>
      </w:r>
      <w:r>
        <w:t>,    (10)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both"/>
      </w:pPr>
      <w:r>
        <w:t xml:space="preserve">где </w:t>
      </w:r>
      <w:r>
        <w:rPr>
          <w:i/>
          <w:iCs/>
        </w:rPr>
        <w:t>Ц, П, В, П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>соответственно содержание в смеси цемента, песка, воды и пены, кг/м</w:t>
      </w:r>
      <w:r>
        <w:rPr>
          <w:vertAlign w:val="superscript"/>
        </w:rPr>
        <w:t>3</w:t>
      </w:r>
      <w:r>
        <w:t>.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4.7.7 При превышении проектной средней плотности неопорбетонной смеси следует дополнительно ввести в нее от 1</w:t>
      </w:r>
      <w:r>
        <w:t>% до 2% пены от первоначального содержания на каждые 100 кг/м</w:t>
      </w:r>
      <w:r>
        <w:rPr>
          <w:vertAlign w:val="superscript"/>
        </w:rPr>
        <w:t>3</w:t>
      </w:r>
      <w:r>
        <w:t xml:space="preserve"> превышения.</w:t>
      </w:r>
    </w:p>
    <w:p w:rsidR="00000000" w:rsidRDefault="00515C2D">
      <w:pPr>
        <w:ind w:firstLine="426"/>
        <w:jc w:val="both"/>
      </w:pPr>
      <w:r>
        <w:t>4.7.8 При уменьшенной средней плотности неопорбетонной смеси по сравнению с проектной следует дополнительно ввести в смесь цемент в количестве от 5% до 7% от первоначального содержания на каждые 100 кг/м</w:t>
      </w:r>
      <w:r>
        <w:rPr>
          <w:vertAlign w:val="superscript"/>
        </w:rPr>
        <w:t>3</w:t>
      </w:r>
      <w:r>
        <w:t xml:space="preserve"> недостачи.</w:t>
      </w:r>
    </w:p>
    <w:p w:rsidR="00000000" w:rsidRDefault="00515C2D">
      <w:pPr>
        <w:ind w:firstLine="426"/>
        <w:jc w:val="both"/>
      </w:pPr>
      <w:r>
        <w:t xml:space="preserve">4.7.9 Массу пены необходимо принимать в </w:t>
      </w:r>
      <w:r>
        <w:t>зависимости от плотности бетона и дальности подачи (бетононасосом) бетонной смеси:</w:t>
      </w:r>
    </w:p>
    <w:p w:rsidR="00000000" w:rsidRDefault="00515C2D">
      <w:pPr>
        <w:ind w:firstLine="426"/>
        <w:jc w:val="both"/>
      </w:pPr>
      <w:r>
        <w:t>- при дальности подачи бетонной смеси от 30 до 40 м и средней плотности бетонной смеси от 200 до 400кг/м</w:t>
      </w:r>
      <w:r>
        <w:rPr>
          <w:vertAlign w:val="superscript"/>
        </w:rPr>
        <w:t>3</w:t>
      </w:r>
      <w:r>
        <w:t xml:space="preserve"> масса пены должна составлять от 50 до 70 г/л;</w:t>
      </w:r>
    </w:p>
    <w:p w:rsidR="00000000" w:rsidRDefault="00515C2D">
      <w:pPr>
        <w:ind w:firstLine="426"/>
        <w:jc w:val="both"/>
      </w:pPr>
      <w:r>
        <w:t>- при дальности подач</w:t>
      </w:r>
      <w:r>
        <w:t>и бетонной смеси от 100 до 150 м и средней плотности бетонной смеси от 500 до 1200 кг/м</w:t>
      </w:r>
      <w:r>
        <w:rPr>
          <w:vertAlign w:val="superscript"/>
        </w:rPr>
        <w:t>3</w:t>
      </w:r>
      <w:r>
        <w:t xml:space="preserve"> рекомендуется масса пены от 75 до 85 г/л;</w:t>
      </w:r>
    </w:p>
    <w:p w:rsidR="00000000" w:rsidRDefault="00515C2D">
      <w:pPr>
        <w:ind w:firstLine="426"/>
        <w:jc w:val="both"/>
      </w:pPr>
      <w:r>
        <w:t>- при дальности подачи бетонной смеси от 100 до 150 м и средней плотности бетонной смеси от 1400 до 1800 кг/м</w:t>
      </w:r>
      <w:r>
        <w:rPr>
          <w:vertAlign w:val="superscript"/>
        </w:rPr>
        <w:t>3</w:t>
      </w:r>
      <w:r>
        <w:t xml:space="preserve"> масса пены дол</w:t>
      </w:r>
      <w:r>
        <w:t>жна составлять от 95 до 100 г/л.</w:t>
      </w:r>
    </w:p>
    <w:p w:rsidR="00000000" w:rsidRDefault="00515C2D">
      <w:pPr>
        <w:ind w:firstLine="426"/>
        <w:jc w:val="both"/>
      </w:pPr>
      <w:r>
        <w:t xml:space="preserve">4.7.10 Пористость неопорбетонной смеси основного состава определяют объемным методом по СТ РК EN 12350-7, </w:t>
      </w:r>
      <w:hyperlink r:id="rId124" w:history="1">
        <w:r>
          <w:rPr>
            <w:rStyle w:val="a3"/>
            <w:color w:val="0000FF"/>
            <w:u w:val="single"/>
          </w:rPr>
          <w:t>ГОСТ 12730.4</w:t>
        </w:r>
      </w:hyperlink>
      <w:r>
        <w:t>.</w:t>
      </w:r>
    </w:p>
    <w:p w:rsidR="00000000" w:rsidRDefault="00515C2D">
      <w:pPr>
        <w:ind w:firstLine="426"/>
        <w:jc w:val="both"/>
      </w:pPr>
      <w:r>
        <w:t>4.7.11 Необходимо контролировать плотн</w:t>
      </w:r>
      <w:r>
        <w:t>ость смеси из каждого замеса с помощью мерной кружки и взвешивать на контрольных весах.</w:t>
      </w:r>
    </w:p>
    <w:p w:rsidR="00000000" w:rsidRDefault="00515C2D">
      <w:pPr>
        <w:ind w:firstLine="426"/>
        <w:jc w:val="both"/>
      </w:pPr>
      <w:r>
        <w:t xml:space="preserve">4.7.12 Изготовление образцов-кубов и последующие тестовые испытания производить согласно требованиям </w:t>
      </w:r>
      <w:hyperlink r:id="rId125" w:history="1">
        <w:r>
          <w:rPr>
            <w:rStyle w:val="a3"/>
            <w:color w:val="0000FF"/>
            <w:u w:val="single"/>
          </w:rPr>
          <w:t>ГО</w:t>
        </w:r>
        <w:r>
          <w:rPr>
            <w:rStyle w:val="a3"/>
            <w:color w:val="0000FF"/>
            <w:u w:val="single"/>
          </w:rPr>
          <w:t>СТ 25485</w:t>
        </w:r>
      </w:hyperlink>
      <w:r>
        <w:t>.</w:t>
      </w:r>
    </w:p>
    <w:p w:rsidR="00000000" w:rsidRDefault="00515C2D">
      <w:pPr>
        <w:ind w:firstLine="426"/>
        <w:jc w:val="both"/>
      </w:pPr>
      <w:r>
        <w:rPr>
          <w:b/>
          <w:bCs/>
        </w:rPr>
        <w:t>4.8 Армирование</w:t>
      </w:r>
    </w:p>
    <w:p w:rsidR="00000000" w:rsidRDefault="00515C2D">
      <w:pPr>
        <w:ind w:firstLine="426"/>
        <w:jc w:val="both"/>
      </w:pPr>
      <w:r>
        <w:t>4.8.1 Армирование конструкций, согласно выполненным расчетам, рекомендуется производить, начиная с плотности неопорбетона 1000 кг/м</w:t>
      </w:r>
      <w:r>
        <w:rPr>
          <w:vertAlign w:val="superscript"/>
        </w:rPr>
        <w:t>3</w:t>
      </w:r>
      <w:r>
        <w:t>.</w:t>
      </w:r>
    </w:p>
    <w:p w:rsidR="00000000" w:rsidRDefault="00515C2D">
      <w:pPr>
        <w:ind w:firstLine="426"/>
        <w:jc w:val="both"/>
      </w:pPr>
      <w:r>
        <w:t>4.8.2 При армировании изделий из неопорбетона должна применяться стальная арматура различного се</w:t>
      </w:r>
      <w:r>
        <w:t>чения в зависимости от требований проектной документации.</w:t>
      </w:r>
    </w:p>
    <w:p w:rsidR="00000000" w:rsidRDefault="00515C2D">
      <w:pPr>
        <w:ind w:firstLine="426"/>
        <w:jc w:val="both"/>
      </w:pPr>
      <w:r>
        <w:t xml:space="preserve">4.8.3 При установке отдельных арматурных стержней, сеток, каркасов и закладных деталей в формы или конструкции необходимо разместить их в проектном положении, зафиксировать и обеспечить необходимый </w:t>
      </w:r>
      <w:r>
        <w:t>защитный слой бетона.</w:t>
      </w:r>
    </w:p>
    <w:p w:rsidR="00000000" w:rsidRDefault="00515C2D">
      <w:pPr>
        <w:ind w:firstLine="426"/>
        <w:jc w:val="both"/>
      </w:pPr>
      <w:r>
        <w:t>4.8.4 Защитный слой бетона должен составлять не менее 25 мм.</w:t>
      </w:r>
    </w:p>
    <w:p w:rsidR="00000000" w:rsidRDefault="00515C2D">
      <w:pPr>
        <w:ind w:firstLine="426"/>
        <w:jc w:val="both"/>
      </w:pPr>
      <w:r>
        <w:t>4.8.5 Армирование изделий (плит) из неопорбетона производят, как правило, в одном направлении отдельными стержнями, не используя поперечную арматуру.</w:t>
      </w:r>
    </w:p>
    <w:p w:rsidR="00000000" w:rsidRDefault="00515C2D">
      <w:pPr>
        <w:ind w:firstLine="426"/>
        <w:jc w:val="both"/>
      </w:pPr>
      <w:r>
        <w:t>4.8.6 Поперечную армату</w:t>
      </w:r>
      <w:r>
        <w:t>ру и армирование плоскими сетками следует применять при ширине изделия более 625 мм или при нагрузке на изделие более 3,5 кПа.</w:t>
      </w:r>
    </w:p>
    <w:p w:rsidR="00000000" w:rsidRDefault="00515C2D">
      <w:pPr>
        <w:ind w:firstLine="426"/>
        <w:jc w:val="both"/>
      </w:pPr>
      <w:r>
        <w:t>4.8.7 Балки, в зависимости от высоты сечения, армируют в одном направлении, и могут содержать (или не содержать) поперечную армат</w:t>
      </w:r>
      <w:r>
        <w:t>уру.</w:t>
      </w:r>
    </w:p>
    <w:p w:rsidR="00000000" w:rsidRDefault="00515C2D">
      <w:pPr>
        <w:ind w:firstLine="426"/>
        <w:jc w:val="both"/>
      </w:pPr>
      <w:r>
        <w:t>4.8.8 Рабочую продольную арматуру в изделиях следует заделывать с учетом требуемого сцепления на длину анкеровки или крепить анкерами.</w:t>
      </w:r>
    </w:p>
    <w:p w:rsidR="00000000" w:rsidRDefault="00515C2D">
      <w:pPr>
        <w:ind w:firstLine="426"/>
        <w:jc w:val="both"/>
      </w:pPr>
      <w:r>
        <w:rPr>
          <w:b/>
          <w:bCs/>
        </w:rPr>
        <w:t>4.9 Укладка неопорбетонной смеси</w:t>
      </w:r>
    </w:p>
    <w:p w:rsidR="00000000" w:rsidRDefault="00515C2D">
      <w:pPr>
        <w:ind w:firstLine="426"/>
        <w:jc w:val="both"/>
      </w:pPr>
      <w:r>
        <w:t>4.9.1 Особое внимание должно быть уделено сопряжению элементов форм во избежание вы</w:t>
      </w:r>
      <w:r>
        <w:t>текания смеси или выделения из нее воды.</w:t>
      </w:r>
    </w:p>
    <w:p w:rsidR="00000000" w:rsidRDefault="00515C2D">
      <w:pPr>
        <w:ind w:firstLine="426"/>
        <w:jc w:val="both"/>
      </w:pPr>
      <w:r>
        <w:t>4.9.2 Герметичность должна быть обеспечена конструкцией форм и точностью пригонки бортов, а в необходимых случаях промазкой стыков либо проклейкой крафт-бумагой. Допускается также устройство термостойких упругих про</w:t>
      </w:r>
      <w:r>
        <w:t>кладок.</w:t>
      </w:r>
    </w:p>
    <w:p w:rsidR="00000000" w:rsidRDefault="00515C2D">
      <w:pPr>
        <w:ind w:firstLine="426"/>
        <w:jc w:val="both"/>
      </w:pPr>
      <w:r>
        <w:t>4.9.3 При расчете вертикальной опалубки необходимо учитывать, что за счет увеличения активного слоя бетона боковое давление на опалубку возрастает от 20% до 30% по сравнению с обычным бетоном.</w:t>
      </w:r>
    </w:p>
    <w:p w:rsidR="00000000" w:rsidRDefault="00515C2D">
      <w:pPr>
        <w:ind w:firstLine="426"/>
        <w:jc w:val="both"/>
      </w:pPr>
      <w:r>
        <w:t>4.9.4 В процессе эксплуатации и перед изготовлением изд</w:t>
      </w:r>
      <w:r>
        <w:t>елий формы необходимо подвергать периодическому осмотру для определения их технического состояния.</w:t>
      </w:r>
    </w:p>
    <w:p w:rsidR="00000000" w:rsidRDefault="00515C2D">
      <w:pPr>
        <w:ind w:firstLine="426"/>
        <w:jc w:val="both"/>
      </w:pPr>
      <w:r>
        <w:t>Проверять внутренние размеры, в пределах допусков на изделия, установленных для них стандартом, техническими условиями и рабочими чертежами чистоту и т.п.</w:t>
      </w:r>
    </w:p>
    <w:p w:rsidR="00000000" w:rsidRDefault="00515C2D">
      <w:pPr>
        <w:ind w:firstLine="426"/>
        <w:jc w:val="both"/>
      </w:pPr>
      <w:r>
        <w:t>Фо</w:t>
      </w:r>
      <w:r>
        <w:t>рмы, внутренние размеры которых не отвечают нормируемым допускам, следует изъять из технологического потока.</w:t>
      </w:r>
    </w:p>
    <w:p w:rsidR="00000000" w:rsidRDefault="00515C2D">
      <w:pPr>
        <w:ind w:firstLine="426"/>
        <w:jc w:val="both"/>
      </w:pPr>
      <w:r>
        <w:t xml:space="preserve">4.9.5 Перед началом заливки необходимо установить упоры против сдвижки опалубки, прикрепить ее к основанию. Допускается предварительно отлить слой </w:t>
      </w:r>
      <w:r>
        <w:t>высотой около 10 см для предотвращения вытекания неопорбетона из-под опалубки при последующей заливке на всю ее высоту.</w:t>
      </w:r>
    </w:p>
    <w:p w:rsidR="00000000" w:rsidRDefault="00515C2D">
      <w:pPr>
        <w:ind w:firstLine="426"/>
        <w:jc w:val="both"/>
      </w:pPr>
      <w:r>
        <w:t>4.9.6 Перед укладкой неопорбетонной смеси следует осуществлять армирование и сборку опалубки, установку и прочное закрепление:</w:t>
      </w:r>
    </w:p>
    <w:p w:rsidR="00000000" w:rsidRDefault="00515C2D">
      <w:pPr>
        <w:ind w:firstLine="426"/>
        <w:jc w:val="both"/>
      </w:pPr>
      <w:r>
        <w:t>- оконных</w:t>
      </w:r>
      <w:r>
        <w:t xml:space="preserve"> и дверных проемообразователей (с установкой упоров и распорок);</w:t>
      </w:r>
    </w:p>
    <w:p w:rsidR="00000000" w:rsidRDefault="00515C2D">
      <w:pPr>
        <w:ind w:firstLine="426"/>
        <w:jc w:val="both"/>
      </w:pPr>
      <w:r>
        <w:t>- закладных деталей, труб и прочих элементов для сантехнических, водопроводных, электрических и др. инженерных сетей (трубопроводы необходимо заглушить, чтобы их не заполнило бетоном).</w:t>
      </w:r>
    </w:p>
    <w:p w:rsidR="00000000" w:rsidRDefault="00515C2D">
      <w:pPr>
        <w:ind w:firstLine="426"/>
        <w:jc w:val="both"/>
      </w:pPr>
      <w:r>
        <w:t>4.9.7 Следует применять опалубку с рабочей поверхностью из материалов с высокими антиадгезионными свойствами.</w:t>
      </w:r>
    </w:p>
    <w:p w:rsidR="00000000" w:rsidRDefault="00515C2D">
      <w:pPr>
        <w:ind w:firstLine="426"/>
        <w:jc w:val="both"/>
      </w:pPr>
      <w:r>
        <w:t>Наиболее рационально применение металлодеревянной опалубки с палубой из ламинированной водостойкой фанеры и с элементами, массой, допускающей ручн</w:t>
      </w:r>
      <w:r>
        <w:t>ую сборку.</w:t>
      </w:r>
    </w:p>
    <w:p w:rsidR="00000000" w:rsidRDefault="00515C2D">
      <w:pPr>
        <w:ind w:firstLine="426"/>
        <w:jc w:val="both"/>
      </w:pPr>
      <w:r>
        <w:t>4.9.8 Для уменьшения адгезии опалубки с бетоном следует использовать эмульсионные смазки.</w:t>
      </w:r>
    </w:p>
    <w:p w:rsidR="00000000" w:rsidRDefault="00515C2D">
      <w:pPr>
        <w:ind w:firstLine="426"/>
        <w:jc w:val="both"/>
      </w:pPr>
      <w:r>
        <w:t>4.9.9 Смазка для смазывания форм и опалубки должна быть совместима с неопорбетоном и не вызывать разрушения его поверхности на всех этапах производства.</w:t>
      </w:r>
    </w:p>
    <w:p w:rsidR="00000000" w:rsidRDefault="00515C2D">
      <w:pPr>
        <w:ind w:firstLine="426"/>
        <w:jc w:val="both"/>
      </w:pPr>
      <w:r>
        <w:t>4.</w:t>
      </w:r>
      <w:r>
        <w:t>9.10 Не рекомендуется применять машинное масло, так как оно разрушает пену.</w:t>
      </w:r>
    </w:p>
    <w:p w:rsidR="00000000" w:rsidRDefault="00515C2D">
      <w:pPr>
        <w:ind w:firstLine="426"/>
        <w:jc w:val="both"/>
      </w:pPr>
      <w:r>
        <w:t>4.9.11 Рекомендуемые виды смазок: эмульсол кислый синтетический, смазки на основе парафинов, стеаринов.</w:t>
      </w:r>
    </w:p>
    <w:p w:rsidR="00000000" w:rsidRDefault="00515C2D">
      <w:pPr>
        <w:ind w:firstLine="426"/>
        <w:jc w:val="both"/>
      </w:pPr>
      <w:r>
        <w:rPr>
          <w:b/>
          <w:bCs/>
        </w:rPr>
        <w:t>4.10 Твердение неопорбетона и уход за ним</w:t>
      </w:r>
    </w:p>
    <w:p w:rsidR="00000000" w:rsidRDefault="00515C2D">
      <w:pPr>
        <w:ind w:firstLine="426"/>
        <w:jc w:val="both"/>
      </w:pPr>
      <w:r>
        <w:t>4.10.1 Для ускорения твердения цем</w:t>
      </w:r>
      <w:r>
        <w:t>ентных смесей следует использовать различные по механизму действия добавки: нитрит - нитрат кальция (ННК), нитрит-нитрат хлорид кальция (ННХК).</w:t>
      </w:r>
    </w:p>
    <w:p w:rsidR="00000000" w:rsidRDefault="00515C2D">
      <w:pPr>
        <w:ind w:firstLine="426"/>
        <w:jc w:val="both"/>
      </w:pPr>
      <w:r>
        <w:t xml:space="preserve">4.10.2 Рекомендуемые виды добавок, их расход в неопорбетонной смеси следует применять с учетом </w:t>
      </w:r>
      <w:hyperlink r:id="rId126" w:history="1">
        <w:r>
          <w:rPr>
            <w:rStyle w:val="a3"/>
            <w:color w:val="0000FF"/>
            <w:u w:val="single"/>
          </w:rPr>
          <w:t>ГОСТ 24211</w:t>
        </w:r>
      </w:hyperlink>
      <w:r>
        <w:t>.</w:t>
      </w:r>
    </w:p>
    <w:p w:rsidR="00000000" w:rsidRDefault="00515C2D">
      <w:pPr>
        <w:ind w:firstLine="426"/>
        <w:jc w:val="both"/>
      </w:pPr>
      <w:r>
        <w:t>4.10.3 Для повышения прочности неопорбетона наиболее рациональным для промышленного применения являются способы и состав смеси, предусматривающие использование суперактивных ультрадисперсных микро</w:t>
      </w:r>
      <w:r>
        <w:t>кремнеземов.</w:t>
      </w:r>
    </w:p>
    <w:p w:rsidR="00000000" w:rsidRDefault="00515C2D">
      <w:pPr>
        <w:ind w:firstLine="426"/>
        <w:jc w:val="both"/>
      </w:pPr>
      <w:r>
        <w:t>4.10.4 Для ускорения процесса твердения рекомендуется использовать высокопрочный цемент или тепловую обработку изделий.</w:t>
      </w:r>
    </w:p>
    <w:p w:rsidR="00000000" w:rsidRDefault="00515C2D">
      <w:pPr>
        <w:ind w:firstLine="426"/>
        <w:jc w:val="both"/>
      </w:pPr>
      <w:r>
        <w:t>4.10.5 Неопорбетону необходимо создать температурно-влажностный режим. Для ускорения твердения неопорбетона и достижения им</w:t>
      </w:r>
      <w:r>
        <w:t xml:space="preserve"> отпускной, проектной прочности следует проводить тепловую обработку сборных изделий.</w:t>
      </w:r>
    </w:p>
    <w:p w:rsidR="00000000" w:rsidRDefault="00515C2D">
      <w:pPr>
        <w:ind w:firstLine="426"/>
        <w:jc w:val="both"/>
      </w:pPr>
      <w:r>
        <w:t>4.10.6 Изделия из неопорбетона формуют в закрытых помещениях при температуре окружающего воздуха не ниже 15°С.</w:t>
      </w:r>
    </w:p>
    <w:p w:rsidR="00000000" w:rsidRDefault="00515C2D">
      <w:pPr>
        <w:ind w:firstLine="426"/>
        <w:jc w:val="both"/>
      </w:pPr>
      <w:r>
        <w:t>4.10.7 Линию формовки изделий рекомендуется оборудовать под</w:t>
      </w:r>
      <w:r>
        <w:t>огреваемым полом. Перемещение форм до приобретения требуемой пластической прочности неопорбетона не допускается.</w:t>
      </w:r>
    </w:p>
    <w:p w:rsidR="00000000" w:rsidRDefault="00515C2D">
      <w:pPr>
        <w:ind w:firstLine="426"/>
        <w:jc w:val="both"/>
      </w:pPr>
      <w:r>
        <w:t>4.10.8 Формы с неопорбетонной смесью после формования следует выдерживать на посту заливки при температуре не менее 15°С до приобретения требуе</w:t>
      </w:r>
      <w:r>
        <w:t xml:space="preserve">мой пластической прочности. Методика определения пластической прочности пенобетонного сырца приведена в </w:t>
      </w:r>
      <w:hyperlink r:id="rId127" w:anchor="sub_id=3" w:history="1">
        <w:r>
          <w:rPr>
            <w:rStyle w:val="a3"/>
            <w:color w:val="0000FF"/>
            <w:u w:val="single"/>
          </w:rPr>
          <w:t>приложении В</w:t>
        </w:r>
      </w:hyperlink>
      <w:r>
        <w:t>.</w:t>
      </w:r>
    </w:p>
    <w:p w:rsidR="00000000" w:rsidRDefault="00515C2D">
      <w:pPr>
        <w:ind w:firstLine="426"/>
        <w:jc w:val="both"/>
      </w:pPr>
      <w:r>
        <w:t xml:space="preserve">4.10.9 Если изготовление массива или изделий происходит на </w:t>
      </w:r>
      <w:r>
        <w:t>открытой строительной площадке, поверхность необходимо предохранять от интенсивного высыхания.</w:t>
      </w:r>
    </w:p>
    <w:p w:rsidR="00000000" w:rsidRDefault="00515C2D">
      <w:pPr>
        <w:ind w:firstLine="426"/>
        <w:jc w:val="both"/>
      </w:pPr>
      <w:r>
        <w:t>4.10.10 Рекомендуется сразу же после укладки неопорбетонной смеси на открытой строительной площадке накрывать поверхность полиэтиленовой пленкой.</w:t>
      </w:r>
    </w:p>
    <w:p w:rsidR="00000000" w:rsidRDefault="00515C2D">
      <w:pPr>
        <w:ind w:firstLine="426"/>
        <w:jc w:val="both"/>
      </w:pPr>
      <w:r>
        <w:t>4.10.11 Не позд</w:t>
      </w:r>
      <w:r>
        <w:t>нее, чем через 12 ч. после окончания бетонирования, а в жаркую погоду - через 2 или 3 ч., следует орошать поверхность неопорбетона водой от 3 до 7 сут, согласно общим инструкциям при ведении бетонных работ.</w:t>
      </w:r>
    </w:p>
    <w:p w:rsidR="00000000" w:rsidRDefault="00515C2D">
      <w:pPr>
        <w:ind w:firstLine="426"/>
        <w:jc w:val="both"/>
      </w:pPr>
      <w:r>
        <w:t>4.10.12 Распалубку конструкций следует производит</w:t>
      </w:r>
      <w:r>
        <w:t>ь после набора бетоном прочности 25% от проектной.</w:t>
      </w:r>
    </w:p>
    <w:p w:rsidR="00000000" w:rsidRDefault="00515C2D">
      <w:pPr>
        <w:ind w:firstLine="426"/>
        <w:jc w:val="both"/>
      </w:pPr>
      <w:r>
        <w:t>4.10.13 При естественном твердении в нормальных условиях (температура (25 ± 5)°С) неопорбетон через 7 сут должен набирать от 55% до 70% марочной прочности.</w:t>
      </w:r>
    </w:p>
    <w:p w:rsidR="00000000" w:rsidRDefault="00515C2D">
      <w:pPr>
        <w:ind w:firstLine="426"/>
        <w:jc w:val="both"/>
      </w:pPr>
      <w:r>
        <w:t>4.10.14 Производство следующих строительных работ</w:t>
      </w:r>
      <w:r>
        <w:t xml:space="preserve"> следует проводить после набора от 70% до 90% прочности. Загружать конструкции полной расчетной нагрузкой следует только после достижения неопорбетоном проектной прочности.</w:t>
      </w:r>
    </w:p>
    <w:p w:rsidR="00000000" w:rsidRDefault="00515C2D">
      <w:pPr>
        <w:ind w:firstLine="426"/>
        <w:jc w:val="both"/>
      </w:pPr>
      <w:r>
        <w:t>4.10.15 Перемещение людей по поверхности неопорбетона и укладка следующего слоя раз</w:t>
      </w:r>
      <w:r>
        <w:t>решается при достижении прочности ранее уложенного слоя не менее 1,5 МПа.</w:t>
      </w:r>
    </w:p>
    <w:p w:rsidR="00000000" w:rsidRDefault="00515C2D">
      <w:pPr>
        <w:ind w:firstLine="426"/>
        <w:jc w:val="both"/>
      </w:pPr>
      <w:r>
        <w:t>4.10.16 Производство следующих строительных работ следует проводить после набора отпускной прочности. Загружать конструкции полной расчетной нагрузкой следует только после достижения</w:t>
      </w:r>
      <w:r>
        <w:t xml:space="preserve"> неопорбетоном проектной прочности.</w:t>
      </w:r>
    </w:p>
    <w:p w:rsidR="00000000" w:rsidRDefault="00515C2D">
      <w:pPr>
        <w:ind w:firstLine="426"/>
        <w:jc w:val="both"/>
      </w:pPr>
      <w:r>
        <w:t>4.10.17 При бетонировании зимой необходимо обеспечить твердение неопорбетона в теплой среде в течение срока, обеспечивающего набор бетоном критической (минимальной) прочности, гарантирующей сохранение структуры неопорбет</w:t>
      </w:r>
      <w:r>
        <w:t>она.</w:t>
      </w:r>
    </w:p>
    <w:p w:rsidR="00000000" w:rsidRDefault="00515C2D">
      <w:pPr>
        <w:ind w:firstLine="426"/>
        <w:jc w:val="both"/>
      </w:pPr>
      <w:r>
        <w:t>4.10.18 После снятия опалубки рекомендуется ровно снять острую угловую кромку во избежание случайного скола и потери товарного вида изделия.</w:t>
      </w:r>
    </w:p>
    <w:p w:rsidR="00000000" w:rsidRDefault="00515C2D">
      <w:pPr>
        <w:ind w:firstLine="426"/>
        <w:jc w:val="both"/>
      </w:pPr>
      <w:r>
        <w:t>4.10.19 Не допускается расслоение структуры неопорбетона на макроуровне за счет отделения воды.</w:t>
      </w:r>
    </w:p>
    <w:p w:rsidR="00000000" w:rsidRDefault="00515C2D">
      <w:pPr>
        <w:ind w:firstLine="426"/>
        <w:jc w:val="both"/>
      </w:pPr>
      <w:r>
        <w:t>4.10.20 При за</w:t>
      </w:r>
      <w:r>
        <w:t>ливке горизонтальных поверхностей допускается небольшое разравнивание при помощи горизонтального бруса или ручного правила.</w:t>
      </w:r>
    </w:p>
    <w:p w:rsidR="00000000" w:rsidRDefault="00515C2D">
      <w:pPr>
        <w:ind w:firstLine="426"/>
        <w:jc w:val="both"/>
      </w:pPr>
      <w:r>
        <w:t>4.10.21 Заливку следует осуществлять либо прямо в приемную воронку на заливаемой конструкции, либо в опалубку с помощью бетононасоса</w:t>
      </w:r>
      <w:r>
        <w:t>, бетоноукладчика или бадьи.</w:t>
      </w:r>
    </w:p>
    <w:p w:rsidR="00000000" w:rsidRDefault="00515C2D">
      <w:pPr>
        <w:ind w:firstLine="426"/>
        <w:jc w:val="both"/>
      </w:pPr>
      <w:r>
        <w:t>4.10.22 Допускается свободный сброс неопорбетонной смеси: в вертикальную опалубку без арматуры - до трех метров, с арматурой - до двух метров; на горизонтальные перекрытия - до одного метра (в целях уменьшения динамических нагрузок на опалубку). Во всех сл</w:t>
      </w:r>
      <w:r>
        <w:t>учаях рекомендуется, при высоте опалубки более 1 м, применять хоботы с максимальным приближением выходного отверстия к поверхности неопорбетона.</w:t>
      </w:r>
    </w:p>
    <w:p w:rsidR="00000000" w:rsidRDefault="00515C2D">
      <w:pPr>
        <w:ind w:firstLine="426"/>
        <w:jc w:val="both"/>
      </w:pPr>
      <w:r>
        <w:t>4.10.23 При изготовлении сборных изделий заполненную неопорбетоном опалубку не допускается передвигать в течени</w:t>
      </w:r>
      <w:r>
        <w:t>е от 2 до 6 ч.</w:t>
      </w:r>
    </w:p>
    <w:p w:rsidR="00000000" w:rsidRDefault="00515C2D">
      <w:pPr>
        <w:ind w:firstLine="426"/>
        <w:jc w:val="both"/>
      </w:pPr>
      <w:r>
        <w:t>4.10.24 Сборные элементы после схватывания рекомендуется укрывать термоустойчивой паронепроницаемой пленкой.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4.11 Бетонирование в особых условиях </w:t>
      </w:r>
    </w:p>
    <w:p w:rsidR="00000000" w:rsidRDefault="00515C2D">
      <w:pPr>
        <w:ind w:firstLine="426"/>
        <w:jc w:val="both"/>
      </w:pPr>
      <w:r>
        <w:rPr>
          <w:b/>
          <w:bCs/>
        </w:rPr>
        <w:t>4.11.1 Бетонные работы в зимних условиях</w:t>
      </w:r>
    </w:p>
    <w:p w:rsidR="00000000" w:rsidRDefault="00515C2D">
      <w:pPr>
        <w:ind w:firstLine="426"/>
        <w:jc w:val="both"/>
      </w:pPr>
      <w:r>
        <w:t>4.11.1.1 С учетом особенностей вызревания неопорбетон</w:t>
      </w:r>
      <w:r>
        <w:t>а рекомендуется выдерживание свежеуложенной смеси в режиме естественного твердения по методу «термос» (укрытие пароизоляционным материалом - полиэтиленовой пленкой, толью, рубероидом и утепление щитами, матами) или во временном сооружении.</w:t>
      </w:r>
    </w:p>
    <w:p w:rsidR="00000000" w:rsidRDefault="00515C2D">
      <w:pPr>
        <w:ind w:firstLine="426"/>
        <w:jc w:val="both"/>
      </w:pPr>
      <w:r>
        <w:t>4.11.1.2 Рекомен</w:t>
      </w:r>
      <w:r>
        <w:t>дуется использовать воздушный обогрев уложенного неопорбетона специальным оборудованием (электропрогрев).</w:t>
      </w:r>
    </w:p>
    <w:p w:rsidR="00000000" w:rsidRDefault="00515C2D">
      <w:pPr>
        <w:ind w:firstLine="426"/>
        <w:jc w:val="both"/>
      </w:pPr>
      <w:r>
        <w:t>4.11.1.3 Активная термообработка изделий требует особого подхода в каждом конкретном случае.</w:t>
      </w:r>
    </w:p>
    <w:p w:rsidR="00000000" w:rsidRDefault="00515C2D">
      <w:pPr>
        <w:ind w:firstLine="426"/>
        <w:jc w:val="both"/>
      </w:pPr>
      <w:r>
        <w:t xml:space="preserve">4.11.1.4 Противоморозные добавки необходимо испытывать в </w:t>
      </w:r>
      <w:r>
        <w:t>лаборатории на предмет совместимости с пеной и сохранения основных характеристик бетона.</w:t>
      </w:r>
    </w:p>
    <w:p w:rsidR="00000000" w:rsidRDefault="00515C2D">
      <w:pPr>
        <w:ind w:firstLine="426"/>
        <w:jc w:val="both"/>
      </w:pPr>
      <w:r>
        <w:t>4.11.1.5 Во время зимнего бетонирования следует учитывать ограничения по температурному воздействию на пенобетонную смесь.</w:t>
      </w:r>
    </w:p>
    <w:p w:rsidR="00000000" w:rsidRDefault="00515C2D">
      <w:pPr>
        <w:ind w:firstLine="426"/>
        <w:jc w:val="both"/>
      </w:pPr>
      <w:r>
        <w:t>4.11.1.6 Следует учитывать, что разрушение п</w:t>
      </w:r>
      <w:r>
        <w:t>ены в протеиновых пенообразователях, происходящее при температуре выше 60°С, может привести к оседанию неопорбетонной смеси.</w:t>
      </w:r>
    </w:p>
    <w:p w:rsidR="00000000" w:rsidRDefault="00515C2D">
      <w:pPr>
        <w:ind w:firstLine="426"/>
        <w:jc w:val="both"/>
      </w:pPr>
      <w:r>
        <w:t>4.11.1.7 Укладку бетонной смеси следует вести непрерывно с минимальным количеством перегрузок средствами механизации, обеспечивающи</w:t>
      </w:r>
      <w:r>
        <w:t>ми минимальное охлаждение смеси при ее подаче, распределении, уплотнении и выравнивании в формах.</w:t>
      </w:r>
    </w:p>
    <w:p w:rsidR="00000000" w:rsidRDefault="00515C2D">
      <w:pPr>
        <w:ind w:firstLine="426"/>
        <w:jc w:val="both"/>
      </w:pPr>
      <w:r>
        <w:t>4.11.1.8 При отрицательной наружной температуре необходимо обеспечить подачу бетонной смеси с оптимальной температурой 15°С, а также защитить места перегрузок</w:t>
      </w:r>
      <w:r>
        <w:t xml:space="preserve"> от ветра, осадков.</w:t>
      </w:r>
    </w:p>
    <w:p w:rsidR="00000000" w:rsidRDefault="00515C2D">
      <w:pPr>
        <w:ind w:firstLine="426"/>
        <w:jc w:val="both"/>
      </w:pPr>
      <w:r>
        <w:t>4.11.1.9 Не допускается использовать смерзшийся в комья песок.</w:t>
      </w:r>
    </w:p>
    <w:p w:rsidR="00000000" w:rsidRDefault="00515C2D">
      <w:pPr>
        <w:ind w:firstLine="426"/>
        <w:jc w:val="both"/>
      </w:pPr>
      <w:r>
        <w:t>4.11.1.10 В осенне-зимний период на строительных объектах следует приготавливать бетонную смесь из сухих растворных смесей, приготовленных заранее согласно рецептуре.</w:t>
      </w:r>
    </w:p>
    <w:p w:rsidR="00000000" w:rsidRDefault="00515C2D">
      <w:pPr>
        <w:ind w:firstLine="426"/>
        <w:jc w:val="both"/>
      </w:pPr>
      <w:r>
        <w:t>4.11.1</w:t>
      </w:r>
      <w:r>
        <w:t>.11 Послойное бетонирование массивных конструкций необходимо вести так, чтобы температура бетона в уложенном слое до перекрытия его следующим слоем не опускалась ниже предусмотренной расчетом.</w:t>
      </w:r>
    </w:p>
    <w:p w:rsidR="00000000" w:rsidRDefault="00515C2D">
      <w:pPr>
        <w:ind w:firstLine="426"/>
        <w:jc w:val="both"/>
      </w:pPr>
      <w:r>
        <w:t xml:space="preserve">4.11.1.12 Допустимая продолжительность перекрытия слоев должна </w:t>
      </w:r>
      <w:r>
        <w:t>назначаться строительной лабораторией в зависимости от температуры укладываемой бетонной смеси и начала схватывания цемента.</w:t>
      </w:r>
    </w:p>
    <w:p w:rsidR="00000000" w:rsidRDefault="00515C2D">
      <w:pPr>
        <w:ind w:firstLine="426"/>
        <w:jc w:val="both"/>
      </w:pPr>
      <w:r>
        <w:t>4.11.1.13 Распалубливание конструкций, снятие теплоизоляционного укрытия следует выполнять при достижении бетоном не менее 70% проч</w:t>
      </w:r>
      <w:r>
        <w:t>ности, соответствующим проектному классу неопорбетона после определения прочности по контрольным образцам.</w:t>
      </w:r>
    </w:p>
    <w:p w:rsidR="00000000" w:rsidRDefault="00515C2D">
      <w:pPr>
        <w:ind w:firstLine="426"/>
        <w:jc w:val="both"/>
      </w:pPr>
      <w:r>
        <w:t>4.11.1.14 Место установки пеногенератора, бетононасоса или всего комплекса должно быть обогреваемым. Бетонопровод необходимо утеплить или обогреть.</w:t>
      </w:r>
    </w:p>
    <w:p w:rsidR="00000000" w:rsidRDefault="00515C2D">
      <w:pPr>
        <w:ind w:firstLine="426"/>
        <w:jc w:val="both"/>
      </w:pPr>
      <w:r>
        <w:t>4</w:t>
      </w:r>
      <w:r>
        <w:t>.11.1.15 Очистку оборудования по окончании бетонирования следует производить подогретой водой, очистку трубопровода - сжатым воздухом или теплой водой, которую затем удаляют во избежание ее замерзания.</w:t>
      </w:r>
    </w:p>
    <w:p w:rsidR="00000000" w:rsidRDefault="00515C2D">
      <w:pPr>
        <w:ind w:firstLine="426"/>
        <w:jc w:val="both"/>
      </w:pPr>
      <w:r>
        <w:rPr>
          <w:b/>
          <w:bCs/>
        </w:rPr>
        <w:t>4.11.2 Бетонные работы в сухую жаркую погоду</w:t>
      </w:r>
    </w:p>
    <w:p w:rsidR="00000000" w:rsidRDefault="00515C2D">
      <w:pPr>
        <w:ind w:firstLine="426"/>
        <w:jc w:val="both"/>
      </w:pPr>
      <w:r>
        <w:t xml:space="preserve">4.11.2.1 </w:t>
      </w:r>
      <w:r>
        <w:t>При подаче бетонной смеси при температуре наружного воздуха выше 25°С и сильной солнечной радиации следует принять меры по теплоизоляции бетона во избежание ускорения гидратации цемента и возникновения пробок. Рекомендуется также побелить опалубку.</w:t>
      </w:r>
    </w:p>
    <w:p w:rsidR="00000000" w:rsidRDefault="00515C2D">
      <w:pPr>
        <w:ind w:firstLine="426"/>
        <w:jc w:val="both"/>
      </w:pPr>
      <w:r>
        <w:t>4.11.2.</w:t>
      </w:r>
      <w:r>
        <w:t>2 В сухую жаркую погоду необходимо предусмотреть обязательное обильное увлажнение внутренней поверхности опалубки и основания перед укладкой неопорбетона и укрытие свежеуложенной смеси пароводонепроницаемым материалом (полиэтиленовой пленкой, брезентом).</w:t>
      </w:r>
    </w:p>
    <w:p w:rsidR="00000000" w:rsidRDefault="00515C2D">
      <w:pPr>
        <w:ind w:firstLine="426"/>
        <w:jc w:val="both"/>
      </w:pPr>
      <w:r>
        <w:t>4</w:t>
      </w:r>
      <w:r>
        <w:t>.11.2.3 В наиболее жаркий период, а также на ответственных конструкциях рекомендуется покрытие поверхности неопорбетона слоем пены или гидрофильного материала, а затем полиэтиленовой пленкой.</w:t>
      </w:r>
    </w:p>
    <w:p w:rsidR="00000000" w:rsidRDefault="00515C2D">
      <w:pPr>
        <w:ind w:firstLine="426"/>
        <w:jc w:val="both"/>
      </w:pPr>
      <w:r>
        <w:t>4.11.2.4 На поверхность бетона, после его схватывания, рекоменду</w:t>
      </w:r>
      <w:r>
        <w:t>ется уложить шланг с отверстиями для обеспечения непрерывного полива массива.</w:t>
      </w:r>
    </w:p>
    <w:p w:rsidR="00000000" w:rsidRDefault="00515C2D">
      <w:pPr>
        <w:ind w:firstLine="426"/>
        <w:jc w:val="both"/>
      </w:pPr>
      <w:r>
        <w:rPr>
          <w:b/>
          <w:bCs/>
        </w:rPr>
        <w:t>4.12 Методы контроля производства изделий из неопорбетона</w:t>
      </w:r>
    </w:p>
    <w:p w:rsidR="00000000" w:rsidRDefault="00515C2D">
      <w:pPr>
        <w:ind w:firstLine="426"/>
        <w:jc w:val="both"/>
      </w:pPr>
      <w:r>
        <w:t>4.12.1 Технический контроль (входной, операционный и приемочный) технологического процесса производства неопорбетонной с</w:t>
      </w:r>
      <w:r>
        <w:t>меси и изделий дополнительно должен включать проверку следующих параметров:</w:t>
      </w:r>
    </w:p>
    <w:p w:rsidR="00000000" w:rsidRDefault="00515C2D">
      <w:pPr>
        <w:ind w:firstLine="426"/>
        <w:jc w:val="both"/>
      </w:pPr>
      <w:r>
        <w:t>- проверка паспортов исходных сырьевых материалов и их контрольные испытания;</w:t>
      </w:r>
    </w:p>
    <w:p w:rsidR="00000000" w:rsidRDefault="00515C2D">
      <w:pPr>
        <w:ind w:firstLine="426"/>
        <w:jc w:val="both"/>
      </w:pPr>
      <w:r>
        <w:t>- контроль за исправностью технологического оборудования, измерительных приборов и других механизмов;</w:t>
      </w:r>
    </w:p>
    <w:p w:rsidR="00000000" w:rsidRDefault="00515C2D">
      <w:pPr>
        <w:ind w:firstLine="426"/>
        <w:jc w:val="both"/>
      </w:pPr>
      <w:r>
        <w:t>- контроль за правильностью дозирования и загрузки сырьевых материалов;</w:t>
      </w:r>
    </w:p>
    <w:p w:rsidR="00000000" w:rsidRDefault="00515C2D">
      <w:pPr>
        <w:ind w:firstLine="426"/>
        <w:jc w:val="both"/>
      </w:pPr>
      <w:r>
        <w:t>- контроль за правильностью приготовления неопорбетонной смеси и ее транспортировк</w:t>
      </w:r>
      <w:r>
        <w:t>и;</w:t>
      </w:r>
    </w:p>
    <w:p w:rsidR="00000000" w:rsidRDefault="00515C2D">
      <w:pPr>
        <w:ind w:firstLine="426"/>
        <w:jc w:val="both"/>
      </w:pPr>
      <w:r>
        <w:t>- условия твердения изделий;</w:t>
      </w:r>
    </w:p>
    <w:p w:rsidR="00000000" w:rsidRDefault="00515C2D">
      <w:pPr>
        <w:ind w:firstLine="426"/>
        <w:jc w:val="both"/>
      </w:pPr>
      <w:r>
        <w:t>- качество и условия хранения изделий, а также их транспортировка к месту применения.</w:t>
      </w:r>
    </w:p>
    <w:p w:rsidR="00000000" w:rsidRDefault="00515C2D">
      <w:pPr>
        <w:ind w:firstLine="426"/>
        <w:jc w:val="both"/>
      </w:pPr>
      <w:r>
        <w:t>4.12.2 Качество изделий необходимо обеспечить:</w:t>
      </w:r>
    </w:p>
    <w:p w:rsidR="00000000" w:rsidRDefault="00515C2D">
      <w:pPr>
        <w:ind w:firstLine="426"/>
        <w:jc w:val="both"/>
      </w:pPr>
      <w:r>
        <w:t>- входным контролем сырьевых материалов, применяемых для изготовления изделий;</w:t>
      </w:r>
    </w:p>
    <w:p w:rsidR="00000000" w:rsidRDefault="00515C2D">
      <w:pPr>
        <w:ind w:firstLine="426"/>
        <w:jc w:val="both"/>
      </w:pPr>
      <w:r>
        <w:t>- операционн</w:t>
      </w:r>
      <w:r>
        <w:t>ым производственным (технологическим) контролем;</w:t>
      </w:r>
    </w:p>
    <w:p w:rsidR="00000000" w:rsidRDefault="00515C2D">
      <w:pPr>
        <w:ind w:firstLine="426"/>
        <w:jc w:val="both"/>
      </w:pPr>
      <w:r>
        <w:t>- приемочным контролем готовых изделий;</w:t>
      </w:r>
    </w:p>
    <w:p w:rsidR="00000000" w:rsidRDefault="00515C2D">
      <w:pPr>
        <w:ind w:firstLine="426"/>
        <w:jc w:val="both"/>
      </w:pPr>
      <w:r>
        <w:t xml:space="preserve">- постоянно проводимым статистическим заводским контролем качества готовых изделий по </w:t>
      </w:r>
      <w:hyperlink r:id="rId128" w:history="1">
        <w:r>
          <w:rPr>
            <w:rStyle w:val="a3"/>
            <w:color w:val="0000FF"/>
            <w:u w:val="single"/>
          </w:rPr>
          <w:t>ГОСТ 8829</w:t>
        </w:r>
      </w:hyperlink>
      <w:r>
        <w:t>.</w:t>
      </w:r>
    </w:p>
    <w:p w:rsidR="00000000" w:rsidRDefault="00515C2D">
      <w:pPr>
        <w:ind w:firstLine="426"/>
        <w:jc w:val="both"/>
      </w:pPr>
      <w:r>
        <w:t>4.12.</w:t>
      </w:r>
      <w:r>
        <w:t>3 Следует особо обратить внимание на процесс приготовления неопорбетонной смеси с заданной средней плотностью, поскольку от этого в основном зависят набор прочности и другие физико-механические свойства неопорбетона.</w:t>
      </w:r>
    </w:p>
    <w:p w:rsidR="00000000" w:rsidRDefault="00515C2D">
      <w:pPr>
        <w:ind w:firstLine="426"/>
        <w:jc w:val="both"/>
      </w:pPr>
      <w:r>
        <w:t>4.12.4Для определения средней плотности</w:t>
      </w:r>
      <w:r>
        <w:t xml:space="preserve"> неопорбетонной смеси необходимо при помощи пробоотборника из разных частей бетономешалки от трех до пяти приемов брать смесь и тщательно перемешивать, а затем переливать в мерную металлическую цилиндрическую емкость 1 л.</w:t>
      </w:r>
    </w:p>
    <w:p w:rsidR="00000000" w:rsidRDefault="00515C2D">
      <w:pPr>
        <w:ind w:firstLine="426"/>
        <w:jc w:val="both"/>
      </w:pPr>
      <w:r>
        <w:t xml:space="preserve">Емкость заполняют в два приема до </w:t>
      </w:r>
      <w:r>
        <w:t>краев, а затем избыток ее при помощи ножа удаляют, после чего стенки емкости протирают сухой тряпкой и взвешивает.</w:t>
      </w:r>
    </w:p>
    <w:p w:rsidR="00000000" w:rsidRDefault="00515C2D">
      <w:pPr>
        <w:ind w:firstLine="426"/>
        <w:jc w:val="both"/>
      </w:pPr>
      <w:r>
        <w:t>Объемную плотность смеси определяет по формуле:</w:t>
      </w:r>
    </w:p>
    <w:p w:rsidR="00000000" w:rsidRDefault="00515C2D">
      <w:pPr>
        <w:ind w:firstLine="426"/>
        <w:jc w:val="both"/>
      </w:pPr>
      <w:r>
        <w:rPr>
          <w:i/>
          <w:iCs/>
        </w:rP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1371600" cy="40957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9" r:link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 (11)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both"/>
      </w:pPr>
      <w:r>
        <w:t xml:space="preserve">где </w:t>
      </w:r>
      <w:r>
        <w:rPr>
          <w:i/>
          <w:iCs/>
        </w:rPr>
        <w:t>т</w:t>
      </w:r>
      <w:r>
        <w:rPr>
          <w:i/>
          <w:iCs/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масса пробы вместе с тарой, г; </w:t>
      </w:r>
    </w:p>
    <w:p w:rsidR="00000000" w:rsidRDefault="00515C2D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2</w:t>
      </w:r>
      <w:r>
        <w:rPr>
          <w:i/>
          <w:iCs/>
        </w:rPr>
        <w:t xml:space="preserve"> - </w:t>
      </w:r>
      <w:r>
        <w:t xml:space="preserve">масса емкости, г; </w:t>
      </w:r>
    </w:p>
    <w:p w:rsidR="00000000" w:rsidRDefault="00515C2D">
      <w:pPr>
        <w:ind w:firstLine="426"/>
        <w:jc w:val="both"/>
      </w:pPr>
      <w:r>
        <w:rPr>
          <w:i/>
          <w:iCs/>
        </w:rPr>
        <w:t>V</w:t>
      </w:r>
      <w:r>
        <w:rPr>
          <w:i/>
          <w:iCs/>
          <w:vertAlign w:val="subscript"/>
        </w:rPr>
        <w:t>к</w:t>
      </w:r>
      <w:r>
        <w:rPr>
          <w:i/>
          <w:iCs/>
        </w:rPr>
        <w:t xml:space="preserve"> - </w:t>
      </w:r>
      <w:r>
        <w:t>объем емкости, мл.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 xml:space="preserve">4.12.5 Организация контроля должна осуществляться в соответствии с таблицей 5. 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jc w:val="center"/>
      </w:pPr>
      <w:r>
        <w:rPr>
          <w:rStyle w:val="s1"/>
        </w:rPr>
        <w:t>Таблица 5 - Контролируемые параметры материалов, процесс</w:t>
      </w:r>
      <w:r>
        <w:rPr>
          <w:rStyle w:val="s1"/>
        </w:rPr>
        <w:t>ов и продукции</w:t>
      </w:r>
    </w:p>
    <w:p w:rsidR="00000000" w:rsidRDefault="00515C2D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9"/>
        <w:gridCol w:w="5860"/>
        <w:gridCol w:w="1836"/>
      </w:tblGrid>
      <w:tr w:rsidR="00000000">
        <w:trPr>
          <w:trHeight w:val="20"/>
        </w:trPr>
        <w:tc>
          <w:tcPr>
            <w:tcW w:w="87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Контроль</w:t>
            </w:r>
          </w:p>
        </w:tc>
        <w:tc>
          <w:tcPr>
            <w:tcW w:w="31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Контролируемые параметры материалов, процессов и продукции</w:t>
            </w:r>
          </w:p>
        </w:tc>
        <w:tc>
          <w:tcPr>
            <w:tcW w:w="9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Исполнители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Входной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Цемент, песок: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наличие паспортов, вид, марка;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отдел снабжения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физико-механические свойства;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лаборатория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Пеноконцентрат: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наличие паспорта, вид, марка;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отдел снабжения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концентрация, пенообразующие свойства, устойчивость;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лаборатория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Операционный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Изготовление бетонной смеси: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лаборатория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дозирование;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БСУ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перемешивание;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БСУ, лаборатория</w:t>
            </w:r>
          </w:p>
        </w:tc>
      </w:tr>
      <w:tr w:rsidR="00000000">
        <w:trPr>
          <w:trHeight w:val="20"/>
        </w:trPr>
        <w:tc>
          <w:tcPr>
            <w:tcW w:w="87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Приготовление пены за</w:t>
            </w:r>
            <w:r>
              <w:t>данного объема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515C2D"/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  <w:p w:rsidR="00000000" w:rsidRDefault="00515C2D">
            <w:r>
              <w:t>Изготовление неопорбетонной смеси: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БСУ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дозирование заданного количества пены;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лаборатория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получение неопорбетонной смеси;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получение смеси с заданной объемной плотностью и пластической прочностью.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Формование и твердение изделий: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правильность укладывания смеси в формы, опалубки;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формовочный цех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000000" w:rsidRDefault="00515C2D"/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  <w:p w:rsidR="00000000" w:rsidRDefault="00515C2D">
            <w:r>
              <w:t>- правильность расположения арматуры и закладных деталей;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лаборатория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- режим, способ твердения и набор прочности;</w:t>
            </w:r>
          </w:p>
        </w:tc>
        <w:tc>
          <w:tcPr>
            <w:tcW w:w="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 </w:t>
            </w:r>
          </w:p>
        </w:tc>
        <w:tc>
          <w:tcPr>
            <w:tcW w:w="3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Отпускная и проектная прочность бетона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>Приемочный</w:t>
            </w:r>
          </w:p>
        </w:tc>
        <w:tc>
          <w:tcPr>
            <w:tcW w:w="31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r>
              <w:t xml:space="preserve">Прочность, жесткость, трещиностойкость </w:t>
            </w:r>
          </w:p>
          <w:p w:rsidR="00000000" w:rsidRDefault="00515C2D">
            <w:r>
              <w:t>Приемка готовой продукции</w:t>
            </w:r>
          </w:p>
        </w:tc>
        <w:tc>
          <w:tcPr>
            <w:tcW w:w="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ОТК</w:t>
            </w:r>
          </w:p>
        </w:tc>
      </w:tr>
    </w:tbl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 xml:space="preserve">4.12.6 </w:t>
      </w:r>
      <w:r>
        <w:t>С особой тщательностью следует контролировать качество пеноконцентрата и рабочее состояние пеногенератора и свойства пены.</w:t>
      </w:r>
    </w:p>
    <w:p w:rsidR="00000000" w:rsidRDefault="00515C2D">
      <w:pPr>
        <w:ind w:firstLine="426"/>
        <w:jc w:val="both"/>
      </w:pPr>
      <w:r>
        <w:t>4.12.7 Контрольной проверке подлежат внешний вид, плотность, кратность, стойкость пены, наличие осадка.</w:t>
      </w:r>
    </w:p>
    <w:p w:rsidR="00000000" w:rsidRDefault="00515C2D">
      <w:pPr>
        <w:ind w:firstLine="426"/>
        <w:jc w:val="both"/>
      </w:pPr>
      <w:r>
        <w:t>4.12.8 Внешний вид (цвет) пен</w:t>
      </w:r>
      <w:r>
        <w:t>оконцентрата и отсутствие в нем посторонних примесей определяют визуально на просвет пробы, помещенной в стеклянную пробирку диаметром от 30 до 50 мм.</w:t>
      </w:r>
    </w:p>
    <w:p w:rsidR="00000000" w:rsidRDefault="00515C2D">
      <w:pPr>
        <w:ind w:firstLine="426"/>
        <w:jc w:val="both"/>
      </w:pPr>
      <w:r>
        <w:t>4.12.9 Пеноконцентрат должен быть без осадка. Наличие осадка в пеноконцентрате проверяют следующим образо</w:t>
      </w:r>
      <w:r>
        <w:t>м. В стеклянный цилиндр емкостью от 250 до 500 см</w:t>
      </w:r>
      <w:r>
        <w:rPr>
          <w:vertAlign w:val="superscript"/>
        </w:rPr>
        <w:t xml:space="preserve">3 </w:t>
      </w:r>
      <w:r>
        <w:t>заливают отобранную пробу и оставляют в холодильнике от 20 до 24 ч. при температуре (5 ± 2)°С.</w:t>
      </w:r>
    </w:p>
    <w:p w:rsidR="00000000" w:rsidRDefault="00515C2D">
      <w:pPr>
        <w:ind w:firstLine="426"/>
        <w:jc w:val="both"/>
      </w:pPr>
      <w:r>
        <w:t>4.12.10 Контроль пеноконцентрата по плотности определяют при помощи ареометра. Фактическая плотность пеноконцентрата не должна отличаться от паспортных данных более чем на ± 2%.</w:t>
      </w:r>
    </w:p>
    <w:p w:rsidR="00000000" w:rsidRDefault="00515C2D">
      <w:pPr>
        <w:ind w:firstLine="426"/>
        <w:jc w:val="both"/>
      </w:pPr>
      <w:r>
        <w:t>4.12.11 Контроль кратности пены определяют следующим образом. Через шланги пен</w:t>
      </w:r>
      <w:r>
        <w:t>огенератора пропускается приготовленный раствор пеноконцентрата. Образовавшуюся пену направляют в соответствующую тару емкостью от 10 до 15 л. После заполнения емкости подачу пены прекращают, отделившуюся друг от друга пену и воду взвешивают.</w:t>
      </w:r>
    </w:p>
    <w:p w:rsidR="00000000" w:rsidRDefault="00515C2D">
      <w:pPr>
        <w:ind w:firstLine="426"/>
        <w:jc w:val="both"/>
      </w:pPr>
      <w:r>
        <w:t>4.12.12 Кратн</w:t>
      </w:r>
      <w:r>
        <w:t>ость пены определяют по формуле: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center"/>
      </w:pPr>
      <w:r>
        <w:rPr>
          <w:i/>
          <w:iCs/>
          <w:noProof/>
        </w:rPr>
        <w:drawing>
          <wp:inline distT="0" distB="0" distL="0" distR="0">
            <wp:extent cx="67627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1" r:link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 (12)</w:t>
      </w:r>
    </w:p>
    <w:p w:rsidR="00000000" w:rsidRDefault="00515C2D">
      <w:pPr>
        <w:ind w:firstLine="426"/>
      </w:pPr>
      <w:r>
        <w:t> </w:t>
      </w:r>
    </w:p>
    <w:p w:rsidR="00000000" w:rsidRDefault="00515C2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К - </w:t>
      </w:r>
      <w:r>
        <w:t xml:space="preserve">кратность пены; </w:t>
      </w:r>
    </w:p>
    <w:p w:rsidR="00000000" w:rsidRDefault="00515C2D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в</w:t>
      </w:r>
      <w:r>
        <w:rPr>
          <w:i/>
          <w:iCs/>
        </w:rPr>
        <w:t xml:space="preserve"> - </w:t>
      </w:r>
      <w:r>
        <w:t xml:space="preserve">масса воды, г; </w:t>
      </w:r>
    </w:p>
    <w:p w:rsidR="00000000" w:rsidRDefault="00515C2D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п</w:t>
      </w:r>
      <w:r>
        <w:rPr>
          <w:i/>
          <w:iCs/>
        </w:rPr>
        <w:t xml:space="preserve"> - </w:t>
      </w:r>
      <w:r>
        <w:t>масса пены, г.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4.12.13 Стойко</w:t>
      </w:r>
      <w:r>
        <w:t>сть пены оценивают продолжительностью разрушения пены. Стеклянный цилиндр емкостью 100 или 200 см</w:t>
      </w:r>
      <w:r>
        <w:rPr>
          <w:vertAlign w:val="superscript"/>
        </w:rPr>
        <w:t>3</w:t>
      </w:r>
      <w:r>
        <w:t>, наполняют пеной и засекают время. За показатель стойкости пены принимают время выделения жидкости из пены в количестве 50% от взятого для испытания объема п</w:t>
      </w:r>
      <w:r>
        <w:t>о массе и за период в течение 50 мин.</w:t>
      </w:r>
    </w:p>
    <w:p w:rsidR="00000000" w:rsidRDefault="00515C2D">
      <w:pPr>
        <w:ind w:firstLine="426"/>
        <w:jc w:val="both"/>
      </w:pPr>
      <w:r>
        <w:t xml:space="preserve">4.12.14 Контрольные образцы для испытания неопорбетона на среднюю плотность, прочность при сжатии, морозостойкость, теплопроводность, водопоглощение и другие физико-механические свойства следует изготавливать из одной </w:t>
      </w:r>
      <w:r>
        <w:t>партии смеси.</w:t>
      </w:r>
    </w:p>
    <w:p w:rsidR="00000000" w:rsidRDefault="00515C2D">
      <w:pPr>
        <w:ind w:firstLine="426"/>
        <w:jc w:val="both"/>
      </w:pPr>
      <w:r>
        <w:t xml:space="preserve">4.12.15 Контрольные образцы для определения свойств пены и неопорбетона, указанных в </w:t>
      </w:r>
      <w:hyperlink r:id="rId133" w:anchor="sub_id=41214" w:history="1">
        <w:r>
          <w:rPr>
            <w:rStyle w:val="a3"/>
            <w:color w:val="0000FF"/>
            <w:u w:val="single"/>
          </w:rPr>
          <w:t>4.12.14</w:t>
        </w:r>
      </w:hyperlink>
      <w:r>
        <w:t xml:space="preserve"> следует изготавливать при изменении:</w:t>
      </w:r>
    </w:p>
    <w:p w:rsidR="00000000" w:rsidRDefault="00515C2D">
      <w:pPr>
        <w:ind w:firstLine="426"/>
        <w:jc w:val="both"/>
      </w:pPr>
      <w:r>
        <w:t>- качества поступающих исходн</w:t>
      </w:r>
      <w:r>
        <w:t>ых сырьевых материалов;</w:t>
      </w:r>
    </w:p>
    <w:p w:rsidR="00000000" w:rsidRDefault="00515C2D">
      <w:pPr>
        <w:ind w:firstLine="426"/>
        <w:jc w:val="both"/>
      </w:pPr>
      <w:r>
        <w:t>- требований к физико-механическим свойствам производимых изделий;</w:t>
      </w:r>
    </w:p>
    <w:p w:rsidR="00000000" w:rsidRDefault="00515C2D">
      <w:pPr>
        <w:ind w:firstLine="426"/>
        <w:jc w:val="both"/>
      </w:pPr>
      <w:r>
        <w:t>- вида изделий;</w:t>
      </w:r>
    </w:p>
    <w:p w:rsidR="00000000" w:rsidRDefault="00515C2D">
      <w:pPr>
        <w:ind w:firstLine="426"/>
        <w:jc w:val="both"/>
      </w:pPr>
      <w:r>
        <w:t>- технологических процессов изготовления изделий.</w:t>
      </w:r>
    </w:p>
    <w:p w:rsidR="00000000" w:rsidRDefault="00515C2D">
      <w:pPr>
        <w:ind w:firstLine="426"/>
        <w:jc w:val="both"/>
      </w:pPr>
      <w:r>
        <w:t>4.12.16 Контрольные образцы неопорбетона должны твердеть в одинаковых условиях с изделиями и констр</w:t>
      </w:r>
      <w:r>
        <w:t xml:space="preserve">укциями до определения отпускной прочности. Образцы, предназначенные для определения предела прочности на сжатие неопорбетона, следует расформовывать не ранее чем через 5 ч. по окончании термообработки, и после маркировки они должны храниться в нормальных </w:t>
      </w:r>
      <w:r>
        <w:t>тепло-влажностных условиях до проектного возраста.</w:t>
      </w:r>
    </w:p>
    <w:p w:rsidR="00000000" w:rsidRDefault="00515C2D">
      <w:pPr>
        <w:ind w:firstLine="426"/>
        <w:jc w:val="both"/>
      </w:pPr>
      <w:r>
        <w:t xml:space="preserve">4.12.17 Приемочный контроль изделий из неопорбетона следует проводить в соответствии с требованиями </w:t>
      </w:r>
      <w:hyperlink r:id="rId134" w:history="1">
        <w:r>
          <w:rPr>
            <w:rStyle w:val="a3"/>
            <w:color w:val="0000FF"/>
            <w:u w:val="single"/>
          </w:rPr>
          <w:t>СТ РК 937</w:t>
        </w:r>
      </w:hyperlink>
      <w:r>
        <w:t>.</w:t>
      </w:r>
    </w:p>
    <w:p w:rsidR="00000000" w:rsidRDefault="00515C2D">
      <w:pPr>
        <w:ind w:firstLine="426"/>
        <w:jc w:val="both"/>
      </w:pPr>
      <w:r>
        <w:t>4.12.18 На поверхностях готов</w:t>
      </w:r>
      <w:r>
        <w:t>ых изделий и конструкций из неопорбетона не допускаются:</w:t>
      </w:r>
    </w:p>
    <w:p w:rsidR="00000000" w:rsidRDefault="00515C2D">
      <w:pPr>
        <w:ind w:firstLine="426"/>
        <w:jc w:val="both"/>
      </w:pPr>
      <w:r>
        <w:t>- трещины и открытые поры, превышающие допустимые;</w:t>
      </w:r>
    </w:p>
    <w:p w:rsidR="00000000" w:rsidRDefault="00515C2D">
      <w:pPr>
        <w:ind w:firstLine="426"/>
        <w:jc w:val="both"/>
      </w:pPr>
      <w:r>
        <w:t>- раковины, наплывы бетона и впадины;</w:t>
      </w:r>
    </w:p>
    <w:p w:rsidR="00000000" w:rsidRDefault="00515C2D">
      <w:pPr>
        <w:ind w:firstLine="426"/>
        <w:jc w:val="both"/>
      </w:pPr>
      <w:r>
        <w:t>- жировые и ржавые пятна.</w:t>
      </w:r>
    </w:p>
    <w:p w:rsidR="00000000" w:rsidRDefault="00515C2D">
      <w:pPr>
        <w:ind w:firstLine="426"/>
        <w:jc w:val="both"/>
      </w:pPr>
      <w:r>
        <w:t>4.12.19 ОТК и лаборатория должны контролировать стабильность технологических и произ</w:t>
      </w:r>
      <w:r>
        <w:t>водственных процессов путем обработки контрольных результатов, полученных в течение месяца.</w:t>
      </w:r>
    </w:p>
    <w:p w:rsidR="00000000" w:rsidRDefault="00515C2D">
      <w:pPr>
        <w:ind w:firstLine="426"/>
        <w:jc w:val="both"/>
      </w:pPr>
      <w:r>
        <w:t xml:space="preserve">4.12.20 Контроль конструкционного и конструкционно-теплоизоляционного неопорбетонов по прочности на сжатие следует проводить в соответствии с </w:t>
      </w:r>
      <w:hyperlink r:id="rId135" w:history="1">
        <w:r>
          <w:rPr>
            <w:rStyle w:val="a3"/>
            <w:color w:val="0000FF"/>
            <w:u w:val="single"/>
          </w:rPr>
          <w:t>ГОСТ 10180</w:t>
        </w:r>
      </w:hyperlink>
      <w:r>
        <w:t>.</w:t>
      </w:r>
    </w:p>
    <w:p w:rsidR="00000000" w:rsidRDefault="00515C2D">
      <w:pPr>
        <w:ind w:firstLine="426"/>
        <w:jc w:val="both"/>
      </w:pPr>
      <w:r>
        <w:t>4.12.21 Отклонения от установленных размеров изделий из неопорбетона не должны превышать, мм: по толщине ± 5; по длине, высоте - ± 8.</w:t>
      </w:r>
    </w:p>
    <w:p w:rsidR="00000000" w:rsidRDefault="00515C2D">
      <w:pPr>
        <w:ind w:firstLine="426"/>
        <w:jc w:val="both"/>
      </w:pPr>
      <w:r>
        <w:t>4.12.22 Отклонения от плоскостности стеновых изделий, на каждые 2 м</w:t>
      </w:r>
      <w:r>
        <w:t>, не должны превышать более чем на 7 мм; для оштукатуриваемых поверхностей не более 12 мм.</w:t>
      </w:r>
    </w:p>
    <w:p w:rsidR="00000000" w:rsidRDefault="00515C2D">
      <w:pPr>
        <w:ind w:firstLine="426"/>
        <w:jc w:val="both"/>
      </w:pPr>
      <w:r>
        <w:t>4.12.23 Предельные отклонения от перпендикулярности в плоскости изделия на каждые 0,5 м не должны превышать, мм:</w:t>
      </w:r>
    </w:p>
    <w:p w:rsidR="00000000" w:rsidRDefault="00515C2D">
      <w:pPr>
        <w:ind w:firstLine="426"/>
        <w:jc w:val="both"/>
      </w:pPr>
      <w:r>
        <w:t>- при ширине изделия менее 1 м - 2;</w:t>
      </w:r>
    </w:p>
    <w:p w:rsidR="00000000" w:rsidRDefault="00515C2D">
      <w:pPr>
        <w:ind w:firstLine="426"/>
        <w:jc w:val="both"/>
      </w:pPr>
      <w:r>
        <w:t>- при ширине изделия более 1 м - 3.</w:t>
      </w:r>
    </w:p>
    <w:p w:rsidR="00000000" w:rsidRDefault="00515C2D">
      <w:pPr>
        <w:ind w:firstLine="426"/>
        <w:jc w:val="both"/>
      </w:pPr>
      <w:r>
        <w:rPr>
          <w:b/>
          <w:bCs/>
        </w:rPr>
        <w:t>4.13 Правила приемки</w:t>
      </w:r>
    </w:p>
    <w:p w:rsidR="00000000" w:rsidRDefault="00515C2D">
      <w:pPr>
        <w:ind w:firstLine="426"/>
        <w:jc w:val="both"/>
      </w:pPr>
      <w:r>
        <w:t xml:space="preserve">4.13.1 Приемку изделий из неопорбетона по основным характеристикам следует проводить в соответствии с требованиями </w:t>
      </w:r>
      <w:hyperlink r:id="rId136" w:history="1">
        <w:r>
          <w:rPr>
            <w:rStyle w:val="a3"/>
            <w:color w:val="0000FF"/>
            <w:u w:val="single"/>
          </w:rPr>
          <w:t>СТ РК 937</w:t>
        </w:r>
      </w:hyperlink>
      <w:r>
        <w:t xml:space="preserve"> для каждо</w:t>
      </w:r>
      <w:r>
        <w:t>й партии изделий.</w:t>
      </w:r>
    </w:p>
    <w:p w:rsidR="00000000" w:rsidRDefault="00515C2D">
      <w:pPr>
        <w:ind w:firstLine="426"/>
        <w:jc w:val="both"/>
      </w:pPr>
      <w:r>
        <w:t>4.13.2 Проверка должна осуществляться в процессе приемки партий готовых изделий службой технического контроля предприятия-изготовителя.</w:t>
      </w:r>
    </w:p>
    <w:p w:rsidR="00000000" w:rsidRDefault="00515C2D">
      <w:pPr>
        <w:ind w:firstLine="426"/>
        <w:jc w:val="both"/>
      </w:pPr>
      <w:r>
        <w:t>В состав партии следует включать изделия одного типа, последовательно изготовленные предприятием по од</w:t>
      </w:r>
      <w:r>
        <w:t>ной технологии в течение одной смены из материалов одного вида.</w:t>
      </w:r>
    </w:p>
    <w:p w:rsidR="00000000" w:rsidRDefault="00515C2D">
      <w:pPr>
        <w:ind w:firstLine="426"/>
        <w:jc w:val="both"/>
      </w:pPr>
      <w:r>
        <w:t>4.13.3 При изготовлении изделий из неопорбетона (нерегулярно или в небольшом количестве) для обеспечения однородности качества продукции, в состав партии допускается включать изделия, изготовл</w:t>
      </w:r>
      <w:r>
        <w:t>енные в течение нескольких смен, но не более одной недели.</w:t>
      </w:r>
    </w:p>
    <w:p w:rsidR="00000000" w:rsidRDefault="00515C2D">
      <w:pPr>
        <w:ind w:firstLine="426"/>
        <w:jc w:val="both"/>
      </w:pPr>
      <w:r>
        <w:t>4.13.4 Приемка должна осуществляться на основе документированных результатов:</w:t>
      </w:r>
    </w:p>
    <w:p w:rsidR="00000000" w:rsidRDefault="00515C2D">
      <w:pPr>
        <w:ind w:firstLine="426"/>
        <w:jc w:val="both"/>
      </w:pPr>
      <w:r>
        <w:t>- входного контроля используемых материалов, комплектующих изделий;</w:t>
      </w:r>
    </w:p>
    <w:p w:rsidR="00000000" w:rsidRDefault="00515C2D">
      <w:pPr>
        <w:ind w:firstLine="426"/>
        <w:jc w:val="both"/>
      </w:pPr>
      <w:r>
        <w:t>- операционного контроля, выполняемого в процессе п</w:t>
      </w:r>
      <w:r>
        <w:t>роизводства;</w:t>
      </w:r>
    </w:p>
    <w:p w:rsidR="00000000" w:rsidRDefault="00515C2D">
      <w:pPr>
        <w:ind w:firstLine="426"/>
        <w:jc w:val="both"/>
      </w:pPr>
      <w:r>
        <w:t>- приемочного контроля арматурных и закладных изделий;</w:t>
      </w:r>
    </w:p>
    <w:p w:rsidR="00000000" w:rsidRDefault="00515C2D">
      <w:pPr>
        <w:ind w:firstLine="426"/>
        <w:jc w:val="both"/>
      </w:pPr>
      <w:r>
        <w:t>- периодических испытаний неопорбетона и готовых изделий;</w:t>
      </w:r>
    </w:p>
    <w:p w:rsidR="00000000" w:rsidRDefault="00515C2D">
      <w:pPr>
        <w:ind w:firstLine="426"/>
        <w:jc w:val="both"/>
      </w:pPr>
      <w:r>
        <w:t>- приемосдаточных испытаний партий неопорбетона и партии готовых изделий. При регистрации результатов приемосдаточных испытаний па</w:t>
      </w:r>
      <w:r>
        <w:t>ртии готовых изделий,</w:t>
      </w:r>
    </w:p>
    <w:p w:rsidR="00000000" w:rsidRDefault="00515C2D">
      <w:pPr>
        <w:ind w:firstLine="426"/>
        <w:jc w:val="both"/>
      </w:pPr>
      <w:r>
        <w:t>в соответствующих журналах или других документах, должны указываться номера и даты изготовления партий неопорбетона, примененных для изготовления данной партии изделий.</w:t>
      </w:r>
    </w:p>
    <w:p w:rsidR="00000000" w:rsidRDefault="00515C2D">
      <w:pPr>
        <w:ind w:firstLine="426"/>
        <w:jc w:val="both"/>
      </w:pPr>
      <w:r>
        <w:t xml:space="preserve">Примечание. В соответствии с </w:t>
      </w:r>
      <w:hyperlink r:id="rId137" w:history="1">
        <w:r>
          <w:rPr>
            <w:rStyle w:val="a3"/>
            <w:color w:val="0000FF"/>
            <w:u w:val="single"/>
          </w:rPr>
          <w:t>ГОСТ 7473</w:t>
        </w:r>
      </w:hyperlink>
      <w:r>
        <w:t xml:space="preserve"> в состав партии неопорбетона включают бетонную смесь одного номинального состава, подобранную по </w:t>
      </w:r>
      <w:hyperlink r:id="rId138" w:history="1">
        <w:r>
          <w:rPr>
            <w:rStyle w:val="a3"/>
            <w:color w:val="0000FF"/>
            <w:u w:val="single"/>
          </w:rPr>
          <w:t>ГОСТ 27006</w:t>
        </w:r>
      </w:hyperlink>
      <w:r>
        <w:t>, приготовленную на одних материалах по едино</w:t>
      </w:r>
      <w:r>
        <w:t xml:space="preserve">й технологии. Объем партии устанавливают по </w:t>
      </w:r>
      <w:hyperlink r:id="rId139" w:history="1">
        <w:r>
          <w:rPr>
            <w:rStyle w:val="a3"/>
            <w:color w:val="0000FF"/>
            <w:u w:val="single"/>
          </w:rPr>
          <w:t>ГОСТ 18105</w:t>
        </w:r>
      </w:hyperlink>
      <w:r>
        <w:t>, но не более сменной выработки.</w:t>
      </w:r>
    </w:p>
    <w:p w:rsidR="00000000" w:rsidRDefault="00515C2D">
      <w:pPr>
        <w:ind w:firstLine="426"/>
        <w:jc w:val="both"/>
      </w:pPr>
      <w:r>
        <w:t>4.13.5 Перечни контролируемых параметров, устанавливаемые в технической и технологической документации к</w:t>
      </w:r>
      <w:r>
        <w:t>онкретных предприятий, могут дополняться и уточняться в соответствии с особенностями выпускаемых изделий и условиями их производства.</w:t>
      </w:r>
    </w:p>
    <w:p w:rsidR="00000000" w:rsidRDefault="00515C2D">
      <w:pPr>
        <w:ind w:firstLine="426"/>
        <w:jc w:val="both"/>
      </w:pPr>
      <w:r>
        <w:rPr>
          <w:b/>
          <w:bCs/>
        </w:rPr>
        <w:t>4.14 Контроль качества неопорбетона и готовых изделий</w:t>
      </w:r>
    </w:p>
    <w:p w:rsidR="00000000" w:rsidRDefault="00515C2D">
      <w:pPr>
        <w:ind w:firstLine="426"/>
        <w:jc w:val="both"/>
      </w:pPr>
      <w:r>
        <w:t xml:space="preserve">4.14.1 Правила контроля и оценки прочности готовой к применению неопорбетонной смеси и бетона устанавливают в соответствии с </w:t>
      </w:r>
      <w:hyperlink r:id="rId140" w:history="1">
        <w:r>
          <w:rPr>
            <w:rStyle w:val="a3"/>
            <w:color w:val="0000FF"/>
            <w:u w:val="single"/>
          </w:rPr>
          <w:t>ГОСТ 18105</w:t>
        </w:r>
      </w:hyperlink>
      <w:r>
        <w:t xml:space="preserve">, контроль средней плотности - по СТ РК EN 12350-6, </w:t>
      </w:r>
      <w:hyperlink r:id="rId141" w:history="1">
        <w:r>
          <w:rPr>
            <w:rStyle w:val="a3"/>
            <w:color w:val="0000FF"/>
            <w:u w:val="single"/>
          </w:rPr>
          <w:t>ГОСТ 27005</w:t>
        </w:r>
      </w:hyperlink>
      <w:r>
        <w:t>.</w:t>
      </w:r>
    </w:p>
    <w:p w:rsidR="00000000" w:rsidRDefault="00515C2D">
      <w:pPr>
        <w:ind w:firstLine="426"/>
        <w:jc w:val="both"/>
      </w:pPr>
      <w:r>
        <w:t>Показатели физико-механических свойств неопорбетона оценивают статистическими методами. При отсутствии стандартизованных статистических методов контроля показатели свойств неопорбетон</w:t>
      </w:r>
      <w:r>
        <w:t>а определяют по среднему значению результатов испытаний серии образцов и оценивают в порядке, предусмотренном в соответствующих стандартах на методы испытаний.</w:t>
      </w:r>
    </w:p>
    <w:p w:rsidR="00000000" w:rsidRDefault="00515C2D">
      <w:pPr>
        <w:ind w:firstLine="426"/>
        <w:jc w:val="both"/>
      </w:pPr>
      <w:r>
        <w:t>4.14.2 Образцы (кубы и цилиндры) для испытаний изготавливают из одной пробы неопорбетона или вып</w:t>
      </w:r>
      <w:r>
        <w:t>иливают или высверливают из контрольных неармированных блоков, изготовленных одновременно с изделиями из одной и той же бетонной смеси, или же готовых изделий после их остывания.</w:t>
      </w:r>
    </w:p>
    <w:p w:rsidR="00000000" w:rsidRDefault="00515C2D">
      <w:pPr>
        <w:ind w:firstLine="426"/>
        <w:jc w:val="both"/>
      </w:pPr>
      <w:r>
        <w:t>4.14.3 Испытываемые образцы должны быть однородными и в этих образцах не долж</w:t>
      </w:r>
      <w:r>
        <w:t>но быть арматуры.</w:t>
      </w:r>
    </w:p>
    <w:p w:rsidR="00000000" w:rsidRDefault="00515C2D">
      <w:pPr>
        <w:ind w:firstLine="426"/>
        <w:jc w:val="both"/>
      </w:pPr>
      <w:r>
        <w:t>4.14.4Образцы для испытания следует выдерживать до постоянной массы при температуре (20 ± 5)°С. Постоянная масса считается достигнутой, если разница между двумя последовательными взвешиваниями в интервале 24 ч. не превышает 0,2%.</w:t>
      </w:r>
    </w:p>
    <w:p w:rsidR="00000000" w:rsidRDefault="00515C2D">
      <w:pPr>
        <w:ind w:firstLine="426"/>
        <w:jc w:val="both"/>
      </w:pPr>
      <w:r>
        <w:t>Допускаю</w:t>
      </w:r>
      <w:r>
        <w:t>тся другие режимы испытания образцов (испытание после высушивания в сушильном шкафу), при условии, что результаты альтернативных режимов соответствуют результатам контрольных.</w:t>
      </w:r>
    </w:p>
    <w:p w:rsidR="00000000" w:rsidRDefault="00515C2D">
      <w:pPr>
        <w:ind w:firstLine="426"/>
        <w:jc w:val="both"/>
      </w:pPr>
      <w:r>
        <w:t>4.14.5 Нормативное сопротивление осевому сжатию определяют по прочности контроль</w:t>
      </w:r>
      <w:r>
        <w:t xml:space="preserve">ных образцов (вырубленных кернов) длиной, равной их диаметру или выпиленных кубов (минимальный размер для обоих случаев 100 мм), которые отбирают из изделий и испытывают в соответствии </w:t>
      </w:r>
      <w:hyperlink r:id="rId142" w:history="1">
        <w:r>
          <w:rPr>
            <w:rStyle w:val="a3"/>
            <w:color w:val="0000FF"/>
            <w:u w:val="single"/>
          </w:rPr>
          <w:t xml:space="preserve">СТ РК </w:t>
        </w:r>
        <w:r>
          <w:rPr>
            <w:rStyle w:val="a3"/>
            <w:color w:val="0000FF"/>
            <w:u w:val="single"/>
          </w:rPr>
          <w:t>EN 12504-1</w:t>
        </w:r>
      </w:hyperlink>
      <w:r>
        <w:t xml:space="preserve">, </w:t>
      </w:r>
      <w:hyperlink r:id="rId143" w:history="1">
        <w:r>
          <w:rPr>
            <w:rStyle w:val="a3"/>
            <w:color w:val="0000FF"/>
            <w:u w:val="single"/>
          </w:rPr>
          <w:t>ГОСТ 10180</w:t>
        </w:r>
      </w:hyperlink>
      <w:r>
        <w:t>.</w:t>
      </w:r>
    </w:p>
    <w:p w:rsidR="00000000" w:rsidRDefault="00515C2D">
      <w:pPr>
        <w:ind w:firstLine="426"/>
        <w:jc w:val="both"/>
      </w:pPr>
      <w:r>
        <w:t xml:space="preserve">4.14.6 Прочность при испытании образцов, изготовленных в формах, и пересчитанная на прочность выбуренных кернов диаметром 100 мм или выпиленных кубов с ребром 100 мм, </w:t>
      </w:r>
      <w:r>
        <w:t xml:space="preserve">должна быть на 1/0,85 больше прочности образцов, отобранных из изделий. Форма, размеры и другие требования к образцам для испытаний и формам для изготовления образцов в соответствии с СТ РК EN 12390 и </w:t>
      </w:r>
      <w:hyperlink r:id="rId144" w:history="1">
        <w:r>
          <w:rPr>
            <w:rStyle w:val="a3"/>
            <w:color w:val="0000FF"/>
            <w:u w:val="single"/>
          </w:rPr>
          <w:t>ГОСТ 10180</w:t>
        </w:r>
      </w:hyperlink>
      <w:r>
        <w:t>.</w:t>
      </w:r>
    </w:p>
    <w:p w:rsidR="00000000" w:rsidRDefault="00515C2D">
      <w:pPr>
        <w:ind w:firstLine="426"/>
        <w:jc w:val="both"/>
      </w:pPr>
      <w:r>
        <w:t>4.14.7Объемную плотность в сухом состоянии неопорбетона допускается устанавливать по средним значениям.</w:t>
      </w:r>
    </w:p>
    <w:p w:rsidR="00000000" w:rsidRDefault="00515C2D">
      <w:pPr>
        <w:ind w:firstLine="426"/>
        <w:jc w:val="both"/>
      </w:pPr>
      <w:r>
        <w:t>4.14.8 Максимальное отклонение фактического среднего значения плотности неопорбетона в выборке от установленного среднего значения</w:t>
      </w:r>
      <w:r>
        <w:t xml:space="preserve"> должны быть, кг/м</w:t>
      </w:r>
      <w:r>
        <w:rPr>
          <w:vertAlign w:val="superscript"/>
        </w:rPr>
        <w:t>3</w:t>
      </w:r>
      <w:r>
        <w:t>:</w:t>
      </w:r>
    </w:p>
    <w:p w:rsidR="00000000" w:rsidRDefault="00515C2D">
      <w:pPr>
        <w:ind w:firstLine="426"/>
        <w:jc w:val="both"/>
      </w:pPr>
      <w:r>
        <w:t>- 50, при плотности менее 1000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t>- 100, при плотности более 1000 кг/м</w:t>
      </w:r>
      <w:r>
        <w:rPr>
          <w:vertAlign w:val="superscript"/>
        </w:rPr>
        <w:t>3</w:t>
      </w:r>
      <w:r>
        <w:t>.</w:t>
      </w:r>
    </w:p>
    <w:p w:rsidR="00000000" w:rsidRDefault="00515C2D">
      <w:pPr>
        <w:ind w:firstLine="426"/>
        <w:jc w:val="both"/>
      </w:pPr>
      <w:r>
        <w:t>4.14.9 Максимальное отклонение отдельных значений плотности неопорбетона в выборке от установленного среднего значения должны быть, кг/м</w:t>
      </w:r>
      <w:r>
        <w:rPr>
          <w:vertAlign w:val="superscript"/>
        </w:rPr>
        <w:t>3</w:t>
      </w:r>
      <w:r>
        <w:t>:</w:t>
      </w:r>
    </w:p>
    <w:p w:rsidR="00000000" w:rsidRDefault="00515C2D">
      <w:pPr>
        <w:ind w:firstLine="426"/>
        <w:jc w:val="both"/>
      </w:pPr>
      <w:r>
        <w:t>- 100, при плотности менее 1000 кг/м</w:t>
      </w:r>
      <w:r>
        <w:rPr>
          <w:vertAlign w:val="superscript"/>
        </w:rPr>
        <w:t>3</w:t>
      </w:r>
      <w:r>
        <w:t>;</w:t>
      </w:r>
    </w:p>
    <w:p w:rsidR="00000000" w:rsidRDefault="00515C2D">
      <w:pPr>
        <w:ind w:firstLine="426"/>
        <w:jc w:val="both"/>
      </w:pPr>
      <w:r>
        <w:t>- 150, при плотности более 1000 кг/м</w:t>
      </w:r>
      <w:r>
        <w:rPr>
          <w:vertAlign w:val="superscript"/>
        </w:rPr>
        <w:t>3</w:t>
      </w:r>
      <w:r>
        <w:t>.</w:t>
      </w:r>
    </w:p>
    <w:p w:rsidR="00000000" w:rsidRDefault="00515C2D">
      <w:pPr>
        <w:ind w:firstLine="426"/>
        <w:jc w:val="both"/>
      </w:pPr>
      <w:r>
        <w:t>4.14.10 При неудовлетворительных резуль</w:t>
      </w:r>
      <w:r>
        <w:t>татах периодических испытаний по показателям свойств неопорбетона изготовление изделий следует прекратить и принять меры, обеспечивающие соблюдение требований нормативных документов.</w:t>
      </w:r>
    </w:p>
    <w:p w:rsidR="00000000" w:rsidRDefault="00515C2D">
      <w:pPr>
        <w:ind w:firstLine="426"/>
        <w:jc w:val="both"/>
      </w:pPr>
      <w:r>
        <w:t>4.14.11 Для выборочного приемочного контроля партий готовых изделий по по</w:t>
      </w:r>
      <w:r>
        <w:t xml:space="preserve">казателям точности размеров и формы, геометрических параметров в процессе их выпуска или после окончания изготовления контролируемой партии делают выборку по </w:t>
      </w:r>
      <w:hyperlink r:id="rId145" w:history="1">
        <w:r>
          <w:rPr>
            <w:rStyle w:val="a3"/>
            <w:color w:val="0000FF"/>
            <w:u w:val="single"/>
          </w:rPr>
          <w:t>ГОСТ 18321</w:t>
        </w:r>
      </w:hyperlink>
      <w:r>
        <w:t xml:space="preserve"> и определяют в ней чис</w:t>
      </w:r>
      <w:r>
        <w:t>ло продукции, не удовлетворяющей требованиям стандарта или рабочей документации по каждому из контролируемых показателей.</w:t>
      </w:r>
    </w:p>
    <w:p w:rsidR="00000000" w:rsidRDefault="00515C2D">
      <w:pPr>
        <w:ind w:firstLine="426"/>
        <w:jc w:val="both"/>
      </w:pPr>
      <w:r>
        <w:t>4.14.12 Приемочный уровень дефектности принимают в соответствии с заказом на изготовление, а при отсутствии указаний в заказе в соотве</w:t>
      </w:r>
      <w:r>
        <w:t xml:space="preserve">тствии с </w:t>
      </w:r>
      <w:hyperlink r:id="rId146" w:history="1">
        <w:r>
          <w:rPr>
            <w:rStyle w:val="a3"/>
            <w:color w:val="0000FF"/>
            <w:u w:val="single"/>
          </w:rPr>
          <w:t>СТ РК 937</w:t>
        </w:r>
      </w:hyperlink>
      <w:r>
        <w:t>.</w:t>
      </w:r>
    </w:p>
    <w:p w:rsidR="00000000" w:rsidRDefault="00515C2D">
      <w:pPr>
        <w:ind w:firstLine="426"/>
        <w:jc w:val="both"/>
      </w:pPr>
      <w:r>
        <w:t>4.14.13 Изделия, принятые техническим контролем, должны иметь маркировку (на изделии или в сопроводительной документации) технического контроля с указанием в нем номера пр</w:t>
      </w:r>
      <w:r>
        <w:t>инятой партии изделий и номера партии бетона, примененного в этих изделиях.</w:t>
      </w:r>
    </w:p>
    <w:p w:rsidR="00000000" w:rsidRDefault="00515C2D">
      <w:pPr>
        <w:ind w:firstLine="426"/>
        <w:jc w:val="both"/>
      </w:pPr>
      <w:r>
        <w:t>4.14.14 Поставляемые потребителю партии изделий должны быть сформированы из изделий, имеющих маркировку технического контроля. Каждая поставляемая партия должна сопровождаться доку</w:t>
      </w:r>
      <w:r>
        <w:t>ментом о качестве.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5. ТРЕБОВАНИЯ БЕЗОПАСНОСТИ ПРОИЗВОДСТВА, ОХРАНА ТРУДА И ОКРУЖАЮЩЕЙ СРЕДЫ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 xml:space="preserve">5.1 Мероприятия по технике безопасности и охране окружающей среды должны проводиться в соответствии с требованиями действующего законодательства, нормативных </w:t>
      </w:r>
      <w:r>
        <w:t>и нормативно-технических документов Республики Казахстан.</w:t>
      </w:r>
    </w:p>
    <w:p w:rsidR="00000000" w:rsidRDefault="00515C2D">
      <w:pPr>
        <w:ind w:firstLine="426"/>
        <w:jc w:val="both"/>
      </w:pPr>
      <w:r>
        <w:t xml:space="preserve">5.2 Производственные процессы должны соответствовать </w:t>
      </w:r>
      <w:hyperlink r:id="rId147" w:history="1">
        <w:r>
          <w:rPr>
            <w:rStyle w:val="a3"/>
            <w:color w:val="0000FF"/>
            <w:u w:val="single"/>
          </w:rPr>
          <w:t>ГОСТ 12.3.002</w:t>
        </w:r>
      </w:hyperlink>
      <w:r>
        <w:t xml:space="preserve">, а применяемое оборудование - </w:t>
      </w:r>
      <w:hyperlink r:id="rId148" w:history="1">
        <w:r>
          <w:rPr>
            <w:rStyle w:val="a3"/>
            <w:color w:val="0000FF"/>
            <w:u w:val="single"/>
          </w:rPr>
          <w:t>ГОСТ 12.2-003</w:t>
        </w:r>
      </w:hyperlink>
      <w:r>
        <w:t>.</w:t>
      </w:r>
    </w:p>
    <w:p w:rsidR="00000000" w:rsidRDefault="00515C2D">
      <w:pPr>
        <w:ind w:firstLine="426"/>
        <w:jc w:val="both"/>
      </w:pPr>
      <w:r>
        <w:t xml:space="preserve">5.3 Все помещения должны быть оборудованы приточно-вытяжной вентиляцией по </w:t>
      </w:r>
      <w:hyperlink r:id="rId149" w:history="1">
        <w:r>
          <w:rPr>
            <w:rStyle w:val="a3"/>
            <w:color w:val="0000FF"/>
            <w:u w:val="single"/>
          </w:rPr>
          <w:t>ГОСТ 12.4.021</w:t>
        </w:r>
      </w:hyperlink>
      <w:r>
        <w:t xml:space="preserve">, обеспечивающей состояние воздуха рабочей зоны по </w:t>
      </w:r>
      <w:hyperlink r:id="rId150" w:history="1">
        <w:r>
          <w:rPr>
            <w:rStyle w:val="a3"/>
            <w:color w:val="0000FF"/>
            <w:u w:val="single"/>
          </w:rPr>
          <w:t>ГОСТ 12.1.005</w:t>
        </w:r>
      </w:hyperlink>
      <w:r>
        <w:t>.</w:t>
      </w:r>
    </w:p>
    <w:p w:rsidR="00000000" w:rsidRDefault="00515C2D">
      <w:pPr>
        <w:ind w:firstLine="426"/>
        <w:jc w:val="both"/>
      </w:pPr>
      <w:r>
        <w:t xml:space="preserve">5.4 При производстве работ в цехах предприятий следует соблюдать правила пожарной безопасности в соответствии требованиями </w:t>
      </w:r>
      <w:hyperlink r:id="rId151" w:history="1">
        <w:r>
          <w:rPr>
            <w:rStyle w:val="a3"/>
            <w:color w:val="0000FF"/>
            <w:u w:val="single"/>
          </w:rPr>
          <w:t>ГОСТ 12.1.004</w:t>
        </w:r>
      </w:hyperlink>
      <w:r>
        <w:t xml:space="preserve"> другими нормативно-техническими документами.</w:t>
      </w:r>
    </w:p>
    <w:p w:rsidR="00000000" w:rsidRDefault="00515C2D">
      <w:pPr>
        <w:ind w:firstLine="426"/>
        <w:jc w:val="both"/>
      </w:pPr>
      <w:r>
        <w:t>5.5 Следует строго соблюдать требования санитарной, пожарной безопасности, взрывобезопасности производственных участков, в том числе связанных с применением веществ, используемых для смазки форм,</w:t>
      </w:r>
      <w:r>
        <w:t xml:space="preserve"> химических добавок, приготовлением их водных растворов и бетонов с химическими добавками.</w:t>
      </w:r>
    </w:p>
    <w:p w:rsidR="00000000" w:rsidRDefault="00515C2D">
      <w:pPr>
        <w:ind w:firstLine="426"/>
        <w:jc w:val="both"/>
      </w:pPr>
      <w:r>
        <w:t>5.6 Оптимальные и допустимые показатели температуры, относительной влажности и скорости движения воздуха в рабочей зоне производственных помещений не должны превышат</w:t>
      </w:r>
      <w:r>
        <w:t xml:space="preserve">ь установленных </w:t>
      </w:r>
      <w:hyperlink r:id="rId152" w:history="1">
        <w:r>
          <w:rPr>
            <w:rStyle w:val="a3"/>
            <w:color w:val="0000FF"/>
            <w:u w:val="single"/>
          </w:rPr>
          <w:t>ГОСТ 12.1.005</w:t>
        </w:r>
      </w:hyperlink>
      <w:r>
        <w:t>. Во всех производственных и бытовых помещениях следует устраивать естественную, искусственную или смешанную вентиляцию, обеспечивающую чистоту воздуха.</w:t>
      </w:r>
    </w:p>
    <w:p w:rsidR="00000000" w:rsidRDefault="00515C2D">
      <w:pPr>
        <w:ind w:firstLine="426"/>
        <w:jc w:val="both"/>
      </w:pPr>
      <w:r>
        <w:t>5.7 Уровен</w:t>
      </w:r>
      <w:r>
        <w:t xml:space="preserve">ь шума на рабочих местах не должен превышать допустимый </w:t>
      </w:r>
      <w:hyperlink r:id="rId153" w:history="1">
        <w:r>
          <w:rPr>
            <w:rStyle w:val="a3"/>
            <w:color w:val="0000FF"/>
            <w:u w:val="single"/>
          </w:rPr>
          <w:t>ГОСТ 12.1.003</w:t>
        </w:r>
      </w:hyperlink>
      <w:r>
        <w:t>.</w:t>
      </w:r>
    </w:p>
    <w:p w:rsidR="00000000" w:rsidRDefault="00515C2D">
      <w:pPr>
        <w:ind w:firstLine="426"/>
        <w:jc w:val="both"/>
      </w:pPr>
      <w:r>
        <w:t>5.8 Удельная эффективная активность естественных радионуклидов А</w:t>
      </w:r>
      <w:r>
        <w:rPr>
          <w:vertAlign w:val="subscript"/>
        </w:rPr>
        <w:t>эф</w:t>
      </w:r>
      <w:r>
        <w:t xml:space="preserve"> сырьевых материалов, применяемых для приготовления бет</w:t>
      </w:r>
      <w:r>
        <w:t xml:space="preserve">онов, не должна превышать предельных значений, Бк/кг, в зависимости от области применения бетона по </w:t>
      </w:r>
      <w:hyperlink r:id="rId154" w:history="1">
        <w:r>
          <w:rPr>
            <w:rStyle w:val="a3"/>
            <w:color w:val="0000FF"/>
            <w:u w:val="single"/>
          </w:rPr>
          <w:t>ГОСТ 30108</w:t>
        </w:r>
      </w:hyperlink>
      <w:r>
        <w:t>.</w:t>
      </w:r>
    </w:p>
    <w:p w:rsidR="00000000" w:rsidRDefault="00515C2D">
      <w:pPr>
        <w:ind w:firstLine="426"/>
        <w:jc w:val="both"/>
      </w:pPr>
      <w:r>
        <w:t xml:space="preserve">5.9 Охрана окружающей среды обеспечивается контролем за соблюдением предельно допустимых выбросов (ПДВ) в атмосферу по </w:t>
      </w:r>
      <w:hyperlink r:id="rId155" w:history="1">
        <w:r>
          <w:rPr>
            <w:rStyle w:val="a3"/>
            <w:color w:val="0000FF"/>
            <w:u w:val="single"/>
          </w:rPr>
          <w:t>ГОСТ 17.2.3.02</w:t>
        </w:r>
      </w:hyperlink>
      <w:r>
        <w:t xml:space="preserve"> и предельно допустимых концентраций (ПДК) загрязняющих вещ</w:t>
      </w:r>
      <w:r>
        <w:t xml:space="preserve">еств по </w:t>
      </w:r>
      <w:hyperlink r:id="rId156" w:history="1">
        <w:r>
          <w:rPr>
            <w:rStyle w:val="a3"/>
            <w:color w:val="0000FF"/>
            <w:u w:val="single"/>
          </w:rPr>
          <w:t>ГОСТ 12.1.005</w:t>
        </w:r>
      </w:hyperlink>
      <w:r>
        <w:t>.</w:t>
      </w:r>
    </w:p>
    <w:p w:rsidR="00000000" w:rsidRDefault="00515C2D">
      <w:pPr>
        <w:ind w:firstLine="426"/>
        <w:jc w:val="both"/>
      </w:pPr>
      <w:r>
        <w:t>5.10 Рабочие, занятые приготовлением и укладкой неопорбетона, должны быть обеспечены средствами индивидуальной защиты: комбинезонами, костюмами, халатами, фартуками, про</w:t>
      </w:r>
      <w:r>
        <w:t>тивопылевыми респираторами, перчаткам, очками, антифонами ЦНИИОТ.</w:t>
      </w:r>
    </w:p>
    <w:p w:rsidR="00000000" w:rsidRDefault="00515C2D">
      <w:pPr>
        <w:ind w:firstLine="426"/>
        <w:jc w:val="both"/>
      </w:pPr>
      <w:r>
        <w:t>5.11 Запрещается принимать пищу в помещениях, где хранятся или приготавливаются добавки, вяжущие и изделия из неопорбетона. Необходимо исключить попадание добавок и их растворов на кожу, сли</w:t>
      </w:r>
      <w:r>
        <w:t>зистые оболочки, в пищу.</w:t>
      </w:r>
    </w:p>
    <w:p w:rsidR="00000000" w:rsidRDefault="00515C2D">
      <w:pPr>
        <w:ind w:firstLine="426"/>
        <w:jc w:val="both"/>
      </w:pPr>
      <w:r>
        <w:t>5.12 Все работающие с неопорбетоном должны проходить предварительный медицинский осмотр при поступлении на работу, а затем периодически в процессе работы.</w:t>
      </w:r>
    </w:p>
    <w:p w:rsidR="00000000" w:rsidRDefault="00515C2D">
      <w:pPr>
        <w:ind w:firstLine="426"/>
        <w:jc w:val="both"/>
      </w:pPr>
      <w:r>
        <w:t>5.13 На предприятии должны быть созданы условия для соблюдения правил личной</w:t>
      </w:r>
      <w:r>
        <w:t xml:space="preserve"> гигиены. Рабочие должны быть обеспечены санитарно-бытовым помещением в соответствии с требованиями </w:t>
      </w:r>
      <w:hyperlink r:id="rId157" w:history="1">
        <w:r>
          <w:rPr>
            <w:rStyle w:val="a3"/>
            <w:color w:val="0000FF"/>
            <w:u w:val="single"/>
          </w:rPr>
          <w:t>СП РК 3.02-108</w:t>
        </w:r>
      </w:hyperlink>
      <w:r>
        <w:t>.</w:t>
      </w:r>
    </w:p>
    <w:p w:rsidR="00000000" w:rsidRDefault="00515C2D">
      <w:pPr>
        <w:ind w:firstLine="426"/>
        <w:jc w:val="both"/>
      </w:pPr>
      <w:r>
        <w:t>5.14 При производстве изделий из неопорбетона все процессы следует производ</w:t>
      </w:r>
      <w:r>
        <w:t>ить таким образом, чтобы максимально снизить негативное влияние на окружающую среду, в том числе сократить выбросы пыли и веществ в атмосферу, предусмотреть очистку сточных вод, снизить уровни шума и вибрации.</w:t>
      </w:r>
    </w:p>
    <w:p w:rsidR="00000000" w:rsidRDefault="00515C2D">
      <w:pPr>
        <w:ind w:firstLine="426"/>
        <w:jc w:val="both"/>
      </w:pPr>
      <w:r>
        <w:t xml:space="preserve">5.15 При изготовлении изделий из неопорбетона </w:t>
      </w:r>
      <w:r>
        <w:t>в производственных цехах следует предусмотреть установку аспирационных систем для снижения выброса в атмосферу большого количества пылевых частиц различных фракций.</w:t>
      </w:r>
    </w:p>
    <w:p w:rsidR="00000000" w:rsidRDefault="00515C2D">
      <w:pPr>
        <w:ind w:firstLine="426"/>
        <w:jc w:val="both"/>
      </w:pPr>
      <w:r>
        <w:t>5.16 Необходимо предусмотреть очистку сточных вод с целью снижения уровня загрязнений почвы и грунтовых вод при производстве конструкций и изделий из неопорбетона.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6 ЭНЕРГОСБЕРЕЖЕНИЕ И РАЦИОНАЛЬНОЕ ИСПОЛЬЗОВАНИЕ ПРИРОДНЫХ РЕСУРСОВ ПРИ ИЗГОТОВЛЕНИИ ИЗДЕ</w:t>
      </w:r>
      <w:r>
        <w:rPr>
          <w:rStyle w:val="s1"/>
        </w:rPr>
        <w:t>ЛИЙ ИЗ НЕОПОРБЕТОНА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6.1 При твердении неопорбетона, особенно в условиях сухого и жаркого климата, следует использовать солнечную энергию (гелиотехнология), что обеспечит энергосбережение при изготовлении изделий из неопорбетона.</w:t>
      </w:r>
    </w:p>
    <w:p w:rsidR="00000000" w:rsidRDefault="00515C2D">
      <w:pPr>
        <w:ind w:firstLine="426"/>
        <w:jc w:val="both"/>
      </w:pPr>
      <w:r>
        <w:t xml:space="preserve">6.2 Для снижения расхода </w:t>
      </w:r>
      <w:r>
        <w:t xml:space="preserve">цемента при производстве неопорбетона следует проводить правильный выбор цемента в зависимости от прочности неопорбетона и условий его эксплуатации, введение модифицирующих добавок, применение чистых заполнителей оптимального зернового состава, сокращение </w:t>
      </w:r>
      <w:r>
        <w:t>потерь цемента на производстве при транспортировании, складировании и хранении.</w:t>
      </w:r>
    </w:p>
    <w:p w:rsidR="00000000" w:rsidRDefault="00515C2D">
      <w:pPr>
        <w:ind w:firstLine="426"/>
        <w:jc w:val="both"/>
      </w:pPr>
      <w:r>
        <w:t>6.3 Для достижения энергосбережения путем снижения расхода цемента рекомендуется применять дезинтеграторную активацию компонентов неопорбетонной смеси.</w:t>
      </w:r>
    </w:p>
    <w:p w:rsidR="00000000" w:rsidRDefault="00515C2D">
      <w:pPr>
        <w:ind w:firstLine="426"/>
        <w:jc w:val="both"/>
      </w:pPr>
      <w:r>
        <w:t>6.4 В целях экономии при</w:t>
      </w:r>
      <w:r>
        <w:t>родного сырья при одновременном повышении теплозащитных характеристик при производстве неопорбетона рекомендуется широко использовать отходы энергетики, в том числе золу-уноса взамен природного песка, что приводит к рациональному использованию природного с</w:t>
      </w:r>
      <w:r>
        <w:t>ырья.</w:t>
      </w:r>
    </w:p>
    <w:p w:rsidR="00000000" w:rsidRDefault="00515C2D">
      <w:pPr>
        <w:ind w:firstLine="426"/>
        <w:jc w:val="both"/>
      </w:pPr>
      <w:r>
        <w:t>6.5 Для обеспечения ресурсосбережения в производстве неопорбетона следует использовать автоматизированную систему, управляющую расходом материалов, что обеспечивает точную дозировку и сводит к минимуму потери сырья.</w:t>
      </w:r>
    </w:p>
    <w:p w:rsidR="00000000" w:rsidRDefault="00515C2D">
      <w:pPr>
        <w:ind w:firstLine="426"/>
        <w:jc w:val="both"/>
      </w:pPr>
      <w:r>
        <w:t>6.6 Повторное использование образу</w:t>
      </w:r>
      <w:r>
        <w:t>ющихся в процессе основного производства отходов обеспечивает экономию природных материалов, снижает себестоимость продукции.</w:t>
      </w:r>
    </w:p>
    <w:p w:rsidR="00000000" w:rsidRDefault="00515C2D">
      <w:pPr>
        <w:ind w:firstLine="426"/>
        <w:jc w:val="both"/>
      </w:pPr>
      <w:r>
        <w:t>6.7 Для снижения водопотребления необходимо:</w:t>
      </w:r>
    </w:p>
    <w:p w:rsidR="00000000" w:rsidRDefault="00515C2D">
      <w:pPr>
        <w:ind w:firstLine="426"/>
        <w:jc w:val="both"/>
      </w:pPr>
      <w:r>
        <w:t>а) использование водопонижающих химических добавок, пластификаторов;</w:t>
      </w:r>
    </w:p>
    <w:p w:rsidR="00000000" w:rsidRDefault="00515C2D">
      <w:pPr>
        <w:ind w:firstLine="426"/>
        <w:jc w:val="both"/>
      </w:pPr>
      <w:r>
        <w:t>б) максимально и</w:t>
      </w:r>
      <w:r>
        <w:t>спользовать оборотные системы водоснабжения.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515C2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15C2D">
      <w:pPr>
        <w:ind w:firstLine="426"/>
        <w:jc w:val="right"/>
      </w:pPr>
      <w:r>
        <w:rPr>
          <w:b/>
          <w:bCs/>
        </w:rPr>
        <w:t> </w:t>
      </w:r>
    </w:p>
    <w:p w:rsidR="00000000" w:rsidRDefault="00515C2D">
      <w:pPr>
        <w:ind w:firstLine="426"/>
        <w:jc w:val="right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Коэффициент теплопроводности неопорбетонов при равновесной влажности</w:t>
      </w:r>
    </w:p>
    <w:p w:rsidR="00000000" w:rsidRDefault="00515C2D">
      <w:pPr>
        <w:ind w:firstLine="426"/>
        <w:jc w:val="center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Таблица А.1 - Коэффициент теплопроводности неопорбетонов при равновесной влажности</w:t>
      </w:r>
    </w:p>
    <w:p w:rsidR="00000000" w:rsidRDefault="00515C2D">
      <w:pPr>
        <w:ind w:firstLine="426"/>
        <w:jc w:val="center"/>
      </w:pPr>
      <w:r>
        <w:t> </w:t>
      </w:r>
    </w:p>
    <w:tbl>
      <w:tblPr>
        <w:tblW w:w="0" w:type="auto"/>
        <w:tblInd w:w="-1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8"/>
        <w:gridCol w:w="3316"/>
        <w:gridCol w:w="3421"/>
      </w:tblGrid>
      <w:tr w:rsidR="00000000">
        <w:trPr>
          <w:trHeight w:val="20"/>
        </w:trPr>
        <w:tc>
          <w:tcPr>
            <w:tcW w:w="37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Марка неопорбетонов</w:t>
            </w:r>
            <w:r>
              <w:t xml:space="preserve"> по средней плотности</w:t>
            </w:r>
          </w:p>
        </w:tc>
        <w:tc>
          <w:tcPr>
            <w:tcW w:w="68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 xml:space="preserve">Коэффициент теплопроводности λ,Вт/(м·°С), при равновесной весовой влажности </w:t>
            </w:r>
            <w:r>
              <w:rPr>
                <w:i/>
                <w:iCs/>
              </w:rPr>
              <w:t>W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515C2D"/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4%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5%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D200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0,056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0,059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D250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0,070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0,073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D300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0,084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0,088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D350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0,099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0,103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D400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0,113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0,117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D450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0,127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0,132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D500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0,141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0,147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D600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0,160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0,183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D700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0,199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0,208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D800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0,223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0,232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D900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0,258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0,269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 1000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0,282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0,293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 1100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0,305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0,318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 1200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0,329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0,342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 1400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0,330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0,345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 1600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0,340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0,344</w:t>
            </w:r>
          </w:p>
        </w:tc>
      </w:tr>
      <w:tr w:rsidR="00000000">
        <w:trPr>
          <w:trHeight w:val="20"/>
        </w:trPr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D 1800</w:t>
            </w:r>
          </w:p>
        </w:tc>
        <w:tc>
          <w:tcPr>
            <w:tcW w:w="3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0,350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515C2D">
            <w:pPr>
              <w:jc w:val="center"/>
            </w:pPr>
            <w:r>
              <w:t>0,345</w:t>
            </w:r>
          </w:p>
        </w:tc>
      </w:tr>
    </w:tbl>
    <w:p w:rsidR="00000000" w:rsidRDefault="00515C2D">
      <w:pPr>
        <w:ind w:firstLine="426"/>
      </w:pPr>
      <w:r>
        <w:rPr>
          <w:b/>
          <w:bCs/>
        </w:rPr>
        <w:t> </w:t>
      </w:r>
    </w:p>
    <w:p w:rsidR="00000000" w:rsidRDefault="00515C2D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515C2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15C2D">
      <w:pPr>
        <w:ind w:firstLine="426"/>
        <w:jc w:val="right"/>
      </w:pPr>
      <w:r>
        <w:rPr>
          <w:b/>
          <w:bCs/>
        </w:rPr>
        <w:t> </w:t>
      </w:r>
    </w:p>
    <w:p w:rsidR="00000000" w:rsidRDefault="00515C2D">
      <w:pPr>
        <w:ind w:firstLine="426"/>
        <w:jc w:val="right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Настройка пеногенератора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Б.1 Предварительно из воды и пеноконцентрата приготовить суспензию из расчета 1:40 (1 часть пеноконцентрата и 40 частей воды) по объему.</w:t>
      </w:r>
    </w:p>
    <w:p w:rsidR="00000000" w:rsidRDefault="00515C2D">
      <w:pPr>
        <w:ind w:firstLine="426"/>
        <w:jc w:val="both"/>
      </w:pPr>
      <w:r>
        <w:t>Б.2 Через специальную воронку заливать суспензию во всасывающий шланг.</w:t>
      </w:r>
    </w:p>
    <w:p w:rsidR="00000000" w:rsidRDefault="00515C2D">
      <w:pPr>
        <w:ind w:firstLine="426"/>
        <w:jc w:val="both"/>
      </w:pPr>
      <w:r>
        <w:t>Б.3 Компрессор следует настраивать таким образом, чтобы давление на манометре, перед смесительной трубкой, было равно 4,2 МПа (очень важное условие).</w:t>
      </w:r>
    </w:p>
    <w:p w:rsidR="00000000" w:rsidRDefault="00515C2D">
      <w:pPr>
        <w:ind w:firstLine="426"/>
        <w:jc w:val="both"/>
      </w:pPr>
      <w:r>
        <w:t>Б.4 После включения насоса и совместной подачи воздуха и суспензии осуществляется настройка насоса для пол</w:t>
      </w:r>
      <w:r>
        <w:t>учения необходимого веса получаемой пены.</w:t>
      </w:r>
    </w:p>
    <w:p w:rsidR="00000000" w:rsidRDefault="00515C2D">
      <w:pPr>
        <w:ind w:firstLine="426"/>
        <w:jc w:val="both"/>
      </w:pPr>
      <w:r>
        <w:t>Следует менять давление воздуха (в сторону уменьшения), или количество суспензии, изменяя производительность насоса с помощью электрического инвертора (либо вариатора насоса) или просто вентилем на подаче насоса, о</w:t>
      </w:r>
      <w:r>
        <w:t>ператор добивается нужного веса пены. Необходимо постоянно контролировать вес пены в емкости объемом до 10 л и, при необходимости, делать коррекцию при подаче воздуха, либо менять расход суспензии до получения заданного веса пены.</w:t>
      </w:r>
    </w:p>
    <w:p w:rsidR="00000000" w:rsidRDefault="00515C2D">
      <w:pPr>
        <w:ind w:firstLine="426"/>
        <w:jc w:val="both"/>
      </w:pPr>
      <w:r>
        <w:t xml:space="preserve">Правильно приготовленная </w:t>
      </w:r>
      <w:r>
        <w:t>пена должна полностью оставаться в перевернутой вверх дном емкости.</w:t>
      </w:r>
    </w:p>
    <w:p w:rsidR="00000000" w:rsidRDefault="00515C2D">
      <w:pPr>
        <w:ind w:firstLine="426"/>
        <w:jc w:val="both"/>
      </w:pPr>
      <w:r>
        <w:t>Б.5 Подобрав производительность в литрах в секунду (л/с), необходимо установить необходимое значение на таймере для подачи в смеситель нужного объема пены.</w:t>
      </w:r>
    </w:p>
    <w:p w:rsidR="00000000" w:rsidRDefault="00515C2D">
      <w:pPr>
        <w:ind w:firstLine="426"/>
        <w:jc w:val="both"/>
      </w:pPr>
      <w:r>
        <w:t>При настройке пеногенератора дол</w:t>
      </w:r>
      <w:r>
        <w:t>жны соблюдаться следующие параметры:</w:t>
      </w:r>
    </w:p>
    <w:p w:rsidR="00000000" w:rsidRDefault="00515C2D">
      <w:pPr>
        <w:ind w:firstLine="426"/>
        <w:jc w:val="both"/>
      </w:pPr>
      <w:r>
        <w:t>- давление перед смесительной трубкой от 3,8 до 4,2 МПа;</w:t>
      </w:r>
    </w:p>
    <w:p w:rsidR="00000000" w:rsidRDefault="00515C2D">
      <w:pPr>
        <w:ind w:firstLine="426"/>
        <w:jc w:val="both"/>
      </w:pPr>
      <w:r>
        <w:t>- вес пены от 50 до 95 г/л.</w:t>
      </w:r>
    </w:p>
    <w:p w:rsidR="00000000" w:rsidRDefault="00515C2D">
      <w:pPr>
        <w:ind w:firstLine="426"/>
        <w:jc w:val="both"/>
      </w:pPr>
      <w:r>
        <w:t>Вес пены принимается в зависимости от назначения. При длине шланга для подачи бетонной смеси (30-40) м и средней плотности бетонной см</w:t>
      </w:r>
      <w:r>
        <w:t>еси от 200 до 400 кг/м</w:t>
      </w:r>
      <w:r>
        <w:rPr>
          <w:vertAlign w:val="superscript"/>
        </w:rPr>
        <w:t>3</w:t>
      </w:r>
      <w:r>
        <w:t xml:space="preserve"> вес пены должен составлять от 50 до 70 г/л.</w:t>
      </w:r>
    </w:p>
    <w:p w:rsidR="00000000" w:rsidRDefault="00515C2D">
      <w:pPr>
        <w:ind w:firstLine="426"/>
        <w:jc w:val="both"/>
      </w:pPr>
      <w:r>
        <w:t>При дальности подачи шланга 100-150 м и средней плотности бетонной смеси от 500 кг/м</w:t>
      </w:r>
      <w:r>
        <w:rPr>
          <w:vertAlign w:val="superscript"/>
        </w:rPr>
        <w:t>3</w:t>
      </w:r>
      <w:r>
        <w:t xml:space="preserve"> до 1200 кг/м</w:t>
      </w:r>
      <w:r>
        <w:rPr>
          <w:vertAlign w:val="superscript"/>
        </w:rPr>
        <w:t>3</w:t>
      </w:r>
      <w:r>
        <w:t xml:space="preserve"> рекомендуется вес пены от 75 до 85 г/л.</w:t>
      </w:r>
    </w:p>
    <w:p w:rsidR="00000000" w:rsidRDefault="00515C2D">
      <w:pPr>
        <w:ind w:firstLine="426"/>
        <w:jc w:val="both"/>
      </w:pPr>
      <w:r>
        <w:t>Для неопорбетонов плотностью от 1400 до 1800 кг/</w:t>
      </w:r>
      <w:r>
        <w:t>м</w:t>
      </w:r>
      <w:r>
        <w:rPr>
          <w:vertAlign w:val="superscript"/>
        </w:rPr>
        <w:t>3</w:t>
      </w:r>
      <w:r>
        <w:t xml:space="preserve"> вес пены должен составлять 95-100 г/л.</w:t>
      </w:r>
    </w:p>
    <w:p w:rsidR="00000000" w:rsidRDefault="00515C2D">
      <w:pPr>
        <w:ind w:firstLine="426"/>
        <w:jc w:val="both"/>
      </w:pPr>
      <w:r>
        <w:t>Б.6 Для стабильного получения пены в течение рабочей смены, необходимо так настроить компрессор, чтобы его производительность по подаче воздуха в смесительную трубку была на 20% ниже его производительности на выдач</w:t>
      </w:r>
      <w:r>
        <w:t>у воздуха.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515C2D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515C2D">
      <w:pPr>
        <w:ind w:firstLine="426"/>
        <w:jc w:val="right"/>
      </w:pPr>
      <w:r>
        <w:rPr>
          <w:b/>
          <w:bCs/>
        </w:rPr>
        <w:t> </w:t>
      </w:r>
    </w:p>
    <w:p w:rsidR="00000000" w:rsidRDefault="00515C2D">
      <w:pPr>
        <w:ind w:firstLine="426"/>
        <w:jc w:val="right"/>
      </w:pPr>
      <w:r>
        <w:rPr>
          <w:b/>
          <w:bCs/>
        </w:rPr>
        <w:t> </w:t>
      </w:r>
    </w:p>
    <w:p w:rsidR="00000000" w:rsidRDefault="00515C2D">
      <w:pPr>
        <w:jc w:val="center"/>
      </w:pPr>
      <w:r>
        <w:rPr>
          <w:rStyle w:val="s1"/>
        </w:rPr>
        <w:t>Определение пластической прочности неопорбетона</w:t>
      </w:r>
    </w:p>
    <w:p w:rsidR="00000000" w:rsidRDefault="00515C2D">
      <w:pPr>
        <w:ind w:firstLine="426"/>
        <w:jc w:val="center"/>
      </w:pPr>
      <w:r>
        <w:t> </w:t>
      </w:r>
    </w:p>
    <w:p w:rsidR="00000000" w:rsidRDefault="00515C2D">
      <w:pPr>
        <w:ind w:firstLine="426"/>
        <w:jc w:val="both"/>
      </w:pPr>
      <w:r>
        <w:t>В.1 Пластическую прочность пенобетонного сырца следует определять с помощью переносного конического пластометра пружинного типа.</w:t>
      </w:r>
    </w:p>
    <w:p w:rsidR="00000000" w:rsidRDefault="00515C2D">
      <w:pPr>
        <w:ind w:firstLine="426"/>
        <w:jc w:val="both"/>
      </w:pPr>
      <w:r>
        <w:t>В.2 Перед определением необход</w:t>
      </w:r>
      <w:r>
        <w:t>имо проверять плавность перемещения конуса и нулевое положение стрелки индикатора. Не допускаются к применению индикаторы с отклонением стрелки от нулевого показания более чем на ± 0,05 мм или индикаторы со свободно перемещающимся стержнем.</w:t>
      </w:r>
    </w:p>
    <w:p w:rsidR="00000000" w:rsidRDefault="00515C2D">
      <w:pPr>
        <w:ind w:firstLine="426"/>
        <w:jc w:val="both"/>
      </w:pPr>
      <w:r>
        <w:t>В.3 Пластическа</w:t>
      </w:r>
      <w:r>
        <w:t>я прочность пенобетона-сырца должна определяться на верхней грани изделия на расстоянии не менее 20 см от борта формы, поверхность бетона в месте испытания должна быть ровной без каверн и включений твердых частиц. Место и время определения пластической про</w:t>
      </w:r>
      <w:r>
        <w:t>чности должны быть указаны в технологической карте.</w:t>
      </w:r>
    </w:p>
    <w:p w:rsidR="00000000" w:rsidRDefault="00515C2D">
      <w:pPr>
        <w:ind w:firstLine="426"/>
        <w:jc w:val="both"/>
      </w:pPr>
      <w:r>
        <w:t>В.4 При замере конус устанавливают перпендикулярно поверхности бетона и медленно вдавливают рукой в сырец до полного погружения, при этом следует брать показания с точностью до 0,1 мм.</w:t>
      </w:r>
    </w:p>
    <w:p w:rsidR="00000000" w:rsidRDefault="00515C2D">
      <w:pPr>
        <w:ind w:firstLine="426"/>
        <w:jc w:val="both"/>
      </w:pPr>
      <w:r>
        <w:t>В.5 Пластическую пр</w:t>
      </w:r>
      <w:r>
        <w:t xml:space="preserve">очность сырца </w:t>
      </w:r>
      <w:r>
        <w:rPr>
          <w:i/>
          <w:iCs/>
        </w:rPr>
        <w:t>R</w:t>
      </w:r>
      <w:r>
        <w:rPr>
          <w:i/>
          <w:iCs/>
          <w:vertAlign w:val="subscript"/>
        </w:rPr>
        <w:t>пл</w:t>
      </w:r>
      <w:r>
        <w:t>кг/см</w:t>
      </w:r>
      <w:r>
        <w:rPr>
          <w:vertAlign w:val="superscript"/>
        </w:rPr>
        <w:t>2</w:t>
      </w:r>
      <w:r>
        <w:t>, вычисляют по формуле:</w:t>
      </w:r>
    </w:p>
    <w:p w:rsidR="00000000" w:rsidRDefault="00515C2D">
      <w:pPr>
        <w:ind w:firstLine="426"/>
        <w:jc w:val="both"/>
      </w:pPr>
      <w:r>
        <w:rPr>
          <w:i/>
          <w:iCs/>
        </w:rPr>
        <w:t> </w:t>
      </w:r>
    </w:p>
    <w:p w:rsidR="00000000" w:rsidRDefault="00515C2D">
      <w:pPr>
        <w:ind w:firstLine="426"/>
        <w:jc w:val="center"/>
      </w:pPr>
      <w:r>
        <w:rPr>
          <w:i/>
          <w:iCs/>
        </w:rPr>
        <w:t>R</w:t>
      </w:r>
      <w:r>
        <w:rPr>
          <w:i/>
          <w:iCs/>
          <w:vertAlign w:val="subscript"/>
        </w:rPr>
        <w:t>пл</w:t>
      </w:r>
      <w:r>
        <w:rPr>
          <w:i/>
          <w:iCs/>
        </w:rPr>
        <w:t xml:space="preserve"> = 0,1 · κ · s</w:t>
      </w:r>
      <w:r>
        <w:t>,    (B.1)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 xml:space="preserve">где </w:t>
      </w:r>
      <w:r>
        <w:rPr>
          <w:i/>
          <w:iCs/>
        </w:rPr>
        <w:t xml:space="preserve">κ - </w:t>
      </w:r>
      <w:r>
        <w:t xml:space="preserve">жесткость пружины пластометра, кгс/см; </w:t>
      </w:r>
    </w:p>
    <w:p w:rsidR="00000000" w:rsidRDefault="00515C2D">
      <w:pPr>
        <w:ind w:firstLine="426"/>
        <w:jc w:val="both"/>
      </w:pPr>
      <w:r>
        <w:rPr>
          <w:i/>
          <w:iCs/>
        </w:rPr>
        <w:t xml:space="preserve">s - </w:t>
      </w:r>
      <w:r>
        <w:t>показание шкалы индикатора пластометра, см.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Величину пластической прочности следует определять как среднее арифметическое из трех значений.</w:t>
      </w:r>
    </w:p>
    <w:p w:rsidR="00000000" w:rsidRDefault="00515C2D">
      <w:pPr>
        <w:ind w:firstLine="426"/>
        <w:jc w:val="both"/>
      </w:pPr>
      <w:r>
        <w:rPr>
          <w:b/>
          <w:bCs/>
        </w:rPr>
        <w:t> </w:t>
      </w:r>
    </w:p>
    <w:p w:rsidR="00000000" w:rsidRDefault="00515C2D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цемент, песок, неопорбетон, пенообразователь, пеноконцентрат неопорбетонные смеси, армирование, укладка, пеногенератор, изделия.</w:t>
      </w:r>
    </w:p>
    <w:p w:rsidR="00000000" w:rsidRDefault="00515C2D">
      <w:pPr>
        <w:ind w:firstLine="426"/>
        <w:jc w:val="both"/>
      </w:pPr>
      <w:r>
        <w:t> </w:t>
      </w:r>
    </w:p>
    <w:p w:rsidR="00000000" w:rsidRDefault="00515C2D">
      <w:pPr>
        <w:ind w:firstLine="426"/>
        <w:jc w:val="both"/>
      </w:pPr>
      <w:r>
        <w:t> </w:t>
      </w:r>
    </w:p>
    <w:sectPr w:rsidR="00000000">
      <w:headerReference w:type="even" r:id="rId158"/>
      <w:headerReference w:type="default" r:id="rId159"/>
      <w:footerReference w:type="even" r:id="rId160"/>
      <w:footerReference w:type="default" r:id="rId161"/>
      <w:headerReference w:type="first" r:id="rId162"/>
      <w:footerReference w:type="first" r:id="rId1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C2D" w:rsidRDefault="00515C2D" w:rsidP="00515C2D">
      <w:r>
        <w:separator/>
      </w:r>
    </w:p>
  </w:endnote>
  <w:endnote w:type="continuationSeparator" w:id="0">
    <w:p w:rsidR="00515C2D" w:rsidRDefault="00515C2D" w:rsidP="00515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C2D" w:rsidRDefault="00515C2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C2D" w:rsidRDefault="00515C2D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C2D" w:rsidRDefault="00515C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C2D" w:rsidRDefault="00515C2D" w:rsidP="00515C2D">
      <w:r>
        <w:separator/>
      </w:r>
    </w:p>
  </w:footnote>
  <w:footnote w:type="continuationSeparator" w:id="0">
    <w:p w:rsidR="00515C2D" w:rsidRDefault="00515C2D" w:rsidP="00515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C2D" w:rsidRDefault="00515C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C2D" w:rsidRDefault="00515C2D" w:rsidP="00515C2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515C2D" w:rsidRDefault="00515C2D" w:rsidP="00515C2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5.03-105-2013 «Изготовление изделий из неопорбетона»</w:t>
    </w:r>
  </w:p>
  <w:p w:rsidR="00515C2D" w:rsidRPr="00515C2D" w:rsidRDefault="00515C2D" w:rsidP="00515C2D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5C2D" w:rsidRDefault="00515C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C2D"/>
    <w:rsid w:val="0051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016AC2-7558-4C04-932D-E7F83C85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515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5C2D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15C2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5C2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.gif"/><Relationship Id="rId21" Type="http://schemas.openxmlformats.org/officeDocument/2006/relationships/hyperlink" Target="http://online.zakon.kz/Document/?doc_id=36553515" TargetMode="External"/><Relationship Id="rId42" Type="http://schemas.openxmlformats.org/officeDocument/2006/relationships/hyperlink" Target="http://online.zakon.kz/Document/?doc_id=35065914" TargetMode="External"/><Relationship Id="rId63" Type="http://schemas.openxmlformats.org/officeDocument/2006/relationships/hyperlink" Target="http://online.zakon.kz/Document/?doc_id=30066371" TargetMode="External"/><Relationship Id="rId84" Type="http://schemas.openxmlformats.org/officeDocument/2006/relationships/hyperlink" Target="http://online.zakon.kz/Document/?doc_id=30039941" TargetMode="External"/><Relationship Id="rId138" Type="http://schemas.openxmlformats.org/officeDocument/2006/relationships/hyperlink" Target="http://online.zakon.kz/Document/?doc_id=30040249" TargetMode="External"/><Relationship Id="rId159" Type="http://schemas.openxmlformats.org/officeDocument/2006/relationships/header" Target="header2.xml"/><Relationship Id="rId107" Type="http://schemas.openxmlformats.org/officeDocument/2006/relationships/hyperlink" Target="http://online.zakon.kz/Document/?doc_id=33796763" TargetMode="External"/><Relationship Id="rId11" Type="http://schemas.openxmlformats.org/officeDocument/2006/relationships/hyperlink" Target="http://online.zakon.kz/Document/?doc_id=36553515" TargetMode="External"/><Relationship Id="rId32" Type="http://schemas.openxmlformats.org/officeDocument/2006/relationships/hyperlink" Target="http://www.neopor.com/en/chronicle.htm" TargetMode="External"/><Relationship Id="rId53" Type="http://schemas.openxmlformats.org/officeDocument/2006/relationships/hyperlink" Target="http://online.zakon.kz/Document/?doc_id=30015058" TargetMode="External"/><Relationship Id="rId74" Type="http://schemas.openxmlformats.org/officeDocument/2006/relationships/hyperlink" Target="http://online.zakon.kz/Document/?doc_id=30006838" TargetMode="External"/><Relationship Id="rId128" Type="http://schemas.openxmlformats.org/officeDocument/2006/relationships/hyperlink" Target="http://online.zakon.kz/Document/?doc_id=30039219" TargetMode="External"/><Relationship Id="rId149" Type="http://schemas.openxmlformats.org/officeDocument/2006/relationships/hyperlink" Target="http://online.zakon.kz/Document/?doc_id=30164291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1587257" TargetMode="External"/><Relationship Id="rId160" Type="http://schemas.openxmlformats.org/officeDocument/2006/relationships/footer" Target="footer1.xml"/><Relationship Id="rId22" Type="http://schemas.openxmlformats.org/officeDocument/2006/relationships/hyperlink" Target="http://online.zakon.kz/Document/?doc_id=36553515" TargetMode="External"/><Relationship Id="rId43" Type="http://schemas.openxmlformats.org/officeDocument/2006/relationships/hyperlink" Target="http://online.zakon.kz/Document/?doc_id=31587257" TargetMode="External"/><Relationship Id="rId64" Type="http://schemas.openxmlformats.org/officeDocument/2006/relationships/hyperlink" Target="http://online.zakon.kz/Document/?doc_id=31335909" TargetMode="External"/><Relationship Id="rId118" Type="http://schemas.openxmlformats.org/officeDocument/2006/relationships/image" Target="https://prod-prg-document-store-api.azurewebsites.net/api/DocumentObject/GetImageAsync?ImageId=40972439" TargetMode="External"/><Relationship Id="rId139" Type="http://schemas.openxmlformats.org/officeDocument/2006/relationships/hyperlink" Target="http://online.zakon.kz/Document/?doc_id=31287781" TargetMode="External"/><Relationship Id="rId85" Type="http://schemas.openxmlformats.org/officeDocument/2006/relationships/hyperlink" Target="http://online.zakon.kz/Document/?doc_id=35501914" TargetMode="External"/><Relationship Id="rId150" Type="http://schemas.openxmlformats.org/officeDocument/2006/relationships/hyperlink" Target="http://online.zakon.kz/Document/?doc_id=1037922" TargetMode="External"/><Relationship Id="rId12" Type="http://schemas.openxmlformats.org/officeDocument/2006/relationships/hyperlink" Target="http://online.zakon.kz/Document/?doc_id=36553515" TargetMode="External"/><Relationship Id="rId17" Type="http://schemas.openxmlformats.org/officeDocument/2006/relationships/hyperlink" Target="http://online.zakon.kz/Document/?doc_id=36553515" TargetMode="External"/><Relationship Id="rId33" Type="http://schemas.openxmlformats.org/officeDocument/2006/relationships/hyperlink" Target="http://online.zakon.kz/Document/?doc_id=30864472" TargetMode="External"/><Relationship Id="rId38" Type="http://schemas.openxmlformats.org/officeDocument/2006/relationships/hyperlink" Target="http://online.zakon.kz/Document/?doc_id=30002102" TargetMode="External"/><Relationship Id="rId59" Type="http://schemas.openxmlformats.org/officeDocument/2006/relationships/hyperlink" Target="http://online.zakon.kz/Document/?doc_id=30039458" TargetMode="External"/><Relationship Id="rId103" Type="http://schemas.openxmlformats.org/officeDocument/2006/relationships/hyperlink" Target="http://online.zakon.kz/Document/?doc_id=31346547" TargetMode="External"/><Relationship Id="rId108" Type="http://schemas.openxmlformats.org/officeDocument/2006/relationships/hyperlink" Target="http://online.zakon.kz/Document/?doc_id=30040249" TargetMode="External"/><Relationship Id="rId124" Type="http://schemas.openxmlformats.org/officeDocument/2006/relationships/hyperlink" Target="http://online.zakon.kz/Document/?doc_id=30039460" TargetMode="External"/><Relationship Id="rId129" Type="http://schemas.openxmlformats.org/officeDocument/2006/relationships/image" Target="media/image9.gif"/><Relationship Id="rId54" Type="http://schemas.openxmlformats.org/officeDocument/2006/relationships/hyperlink" Target="http://online.zakon.kz/Document/?doc_id=30039219" TargetMode="External"/><Relationship Id="rId70" Type="http://schemas.openxmlformats.org/officeDocument/2006/relationships/hyperlink" Target="http://online.zakon.kz/Document/?doc_id=30040248" TargetMode="External"/><Relationship Id="rId75" Type="http://schemas.openxmlformats.org/officeDocument/2006/relationships/image" Target="media/image1.gif"/><Relationship Id="rId91" Type="http://schemas.openxmlformats.org/officeDocument/2006/relationships/hyperlink" Target="http://online.zakon.kz/Document/?doc_id=30039256" TargetMode="External"/><Relationship Id="rId96" Type="http://schemas.openxmlformats.org/officeDocument/2006/relationships/hyperlink" Target="http://online.zakon.kz/Document/?doc_id=30015058" TargetMode="External"/><Relationship Id="rId140" Type="http://schemas.openxmlformats.org/officeDocument/2006/relationships/hyperlink" Target="http://online.zakon.kz/Document/?doc_id=31287781" TargetMode="External"/><Relationship Id="rId145" Type="http://schemas.openxmlformats.org/officeDocument/2006/relationships/hyperlink" Target="http://online.zakon.kz/Document/?doc_id=30066371" TargetMode="External"/><Relationship Id="rId16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553515" TargetMode="External"/><Relationship Id="rId23" Type="http://schemas.openxmlformats.org/officeDocument/2006/relationships/hyperlink" Target="http://online.zakon.kz/Document/?doc_id=36553515" TargetMode="External"/><Relationship Id="rId28" Type="http://schemas.openxmlformats.org/officeDocument/2006/relationships/hyperlink" Target="http://online.zakon.kz/Document/?doc_id=36553515" TargetMode="External"/><Relationship Id="rId49" Type="http://schemas.openxmlformats.org/officeDocument/2006/relationships/hyperlink" Target="http://online.zakon.kz/Document/?doc_id=30031383" TargetMode="External"/><Relationship Id="rId114" Type="http://schemas.openxmlformats.org/officeDocument/2006/relationships/image" Target="https://prod-prg-document-store-api.azurewebsites.net/api/DocumentObject/GetImageAsync?ImageId=40972437" TargetMode="External"/><Relationship Id="rId119" Type="http://schemas.openxmlformats.org/officeDocument/2006/relationships/image" Target="media/image7.gif"/><Relationship Id="rId44" Type="http://schemas.openxmlformats.org/officeDocument/2006/relationships/hyperlink" Target="http://online.zakon.kz/Document/?doc_id=30040388" TargetMode="External"/><Relationship Id="rId60" Type="http://schemas.openxmlformats.org/officeDocument/2006/relationships/hyperlink" Target="http://online.zakon.kz/Document/?doc_id=30039460" TargetMode="External"/><Relationship Id="rId65" Type="http://schemas.openxmlformats.org/officeDocument/2006/relationships/hyperlink" Target="http://online.zakon.kz/Document/?doc_id=30814152" TargetMode="External"/><Relationship Id="rId81" Type="http://schemas.openxmlformats.org/officeDocument/2006/relationships/hyperlink" Target="http://online.zakon.kz/Document/?doc_id=30039996" TargetMode="External"/><Relationship Id="rId86" Type="http://schemas.openxmlformats.org/officeDocument/2006/relationships/hyperlink" Target="http://online.zakon.kz/Document/?doc_id=30039996" TargetMode="External"/><Relationship Id="rId130" Type="http://schemas.openxmlformats.org/officeDocument/2006/relationships/image" Target="https://prod-prg-document-store-api.azurewebsites.net/api/DocumentObject/GetImageAsync?ImageId=40972442" TargetMode="External"/><Relationship Id="rId135" Type="http://schemas.openxmlformats.org/officeDocument/2006/relationships/hyperlink" Target="http://online.zakon.kz/Document/?doc_id=31523682" TargetMode="External"/><Relationship Id="rId151" Type="http://schemas.openxmlformats.org/officeDocument/2006/relationships/hyperlink" Target="http://online.zakon.kz/Document/?doc_id=1038581" TargetMode="External"/><Relationship Id="rId156" Type="http://schemas.openxmlformats.org/officeDocument/2006/relationships/hyperlink" Target="http://online.zakon.kz/Document/?doc_id=1037922" TargetMode="External"/><Relationship Id="rId13" Type="http://schemas.openxmlformats.org/officeDocument/2006/relationships/hyperlink" Target="http://online.zakon.kz/Document/?doc_id=36553515" TargetMode="External"/><Relationship Id="rId18" Type="http://schemas.openxmlformats.org/officeDocument/2006/relationships/hyperlink" Target="http://online.zakon.kz/Document/?doc_id=36553515" TargetMode="External"/><Relationship Id="rId39" Type="http://schemas.openxmlformats.org/officeDocument/2006/relationships/hyperlink" Target="http://online.zakon.kz/Document/?doc_id=31405838" TargetMode="External"/><Relationship Id="rId109" Type="http://schemas.openxmlformats.org/officeDocument/2006/relationships/image" Target="media/image2.gif"/><Relationship Id="rId34" Type="http://schemas.openxmlformats.org/officeDocument/2006/relationships/hyperlink" Target="http://online.zakon.kz/Document/?doc_id=33796763" TargetMode="External"/><Relationship Id="rId50" Type="http://schemas.openxmlformats.org/officeDocument/2006/relationships/hyperlink" Target="http://online.zakon.kz/Document/?doc_id=30798941" TargetMode="External"/><Relationship Id="rId55" Type="http://schemas.openxmlformats.org/officeDocument/2006/relationships/hyperlink" Target="http://online.zakon.kz/Document/?doc_id=30039256" TargetMode="External"/><Relationship Id="rId76" Type="http://schemas.openxmlformats.org/officeDocument/2006/relationships/image" Target="https://prod-prg-document-store-api.azurewebsites.net/api/DocumentObject/GetImageAsync?ImageId=40972434" TargetMode="External"/><Relationship Id="rId97" Type="http://schemas.openxmlformats.org/officeDocument/2006/relationships/hyperlink" Target="http://online.zakon.kz/Document/?doc_id=30040160" TargetMode="External"/><Relationship Id="rId104" Type="http://schemas.openxmlformats.org/officeDocument/2006/relationships/hyperlink" Target="http://online.zakon.kz/Document/?doc_id=31532440" TargetMode="External"/><Relationship Id="rId120" Type="http://schemas.openxmlformats.org/officeDocument/2006/relationships/image" Target="https://prod-prg-document-store-api.azurewebsites.net/api/DocumentObject/GetImageAsync?ImageId=40972440" TargetMode="External"/><Relationship Id="rId125" Type="http://schemas.openxmlformats.org/officeDocument/2006/relationships/hyperlink" Target="http://online.zakon.kz/Document/?doc_id=30039996" TargetMode="External"/><Relationship Id="rId141" Type="http://schemas.openxmlformats.org/officeDocument/2006/relationships/hyperlink" Target="http://online.zakon.kz/Document/?doc_id=30040248" TargetMode="External"/><Relationship Id="rId146" Type="http://schemas.openxmlformats.org/officeDocument/2006/relationships/hyperlink" Target="http://online.zakon.kz/Document/?doc_id=30011180" TargetMode="External"/><Relationship Id="rId7" Type="http://schemas.openxmlformats.org/officeDocument/2006/relationships/hyperlink" Target="http://online.zakon.kz/Document/?doc_id=36553515" TargetMode="External"/><Relationship Id="rId71" Type="http://schemas.openxmlformats.org/officeDocument/2006/relationships/hyperlink" Target="http://online.zakon.kz/Document/?doc_id=30040249" TargetMode="External"/><Relationship Id="rId92" Type="http://schemas.openxmlformats.org/officeDocument/2006/relationships/hyperlink" Target="http://online.zakon.kz/Document/?doc_id=31405838" TargetMode="External"/><Relationship Id="rId162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553515" TargetMode="External"/><Relationship Id="rId24" Type="http://schemas.openxmlformats.org/officeDocument/2006/relationships/hyperlink" Target="http://online.zakon.kz/Document/?doc_id=36553515" TargetMode="External"/><Relationship Id="rId40" Type="http://schemas.openxmlformats.org/officeDocument/2006/relationships/hyperlink" Target="http://online.zakon.kz/Document/?doc_id=31346547" TargetMode="External"/><Relationship Id="rId45" Type="http://schemas.openxmlformats.org/officeDocument/2006/relationships/hyperlink" Target="http://online.zakon.kz/Document/?doc_id=1033876" TargetMode="External"/><Relationship Id="rId66" Type="http://schemas.openxmlformats.org/officeDocument/2006/relationships/hyperlink" Target="http://online.zakon.kz/Document/?doc_id=30039941" TargetMode="External"/><Relationship Id="rId87" Type="http://schemas.openxmlformats.org/officeDocument/2006/relationships/hyperlink" Target="http://online.zakon.kz/Document/?doc_id=1022464" TargetMode="External"/><Relationship Id="rId110" Type="http://schemas.openxmlformats.org/officeDocument/2006/relationships/image" Target="https://prod-prg-document-store-api.azurewebsites.net/api/DocumentObject/GetImageAsync?ImageId=40972435" TargetMode="External"/><Relationship Id="rId115" Type="http://schemas.openxmlformats.org/officeDocument/2006/relationships/image" Target="media/image5.gif"/><Relationship Id="rId131" Type="http://schemas.openxmlformats.org/officeDocument/2006/relationships/image" Target="media/image10.gif"/><Relationship Id="rId136" Type="http://schemas.openxmlformats.org/officeDocument/2006/relationships/hyperlink" Target="http://online.zakon.kz/Document/?doc_id=30011180" TargetMode="External"/><Relationship Id="rId157" Type="http://schemas.openxmlformats.org/officeDocument/2006/relationships/hyperlink" Target="http://online.zakon.kz/Document/?doc_id=33977937" TargetMode="External"/><Relationship Id="rId61" Type="http://schemas.openxmlformats.org/officeDocument/2006/relationships/hyperlink" Target="http://online.zakon.kz/Document/?doc_id=30039476" TargetMode="External"/><Relationship Id="rId82" Type="http://schemas.openxmlformats.org/officeDocument/2006/relationships/hyperlink" Target="http://online.zakon.kz/Document/?doc_id=38080689" TargetMode="External"/><Relationship Id="rId152" Type="http://schemas.openxmlformats.org/officeDocument/2006/relationships/hyperlink" Target="http://online.zakon.kz/Document/?doc_id=1037922" TargetMode="External"/><Relationship Id="rId19" Type="http://schemas.openxmlformats.org/officeDocument/2006/relationships/hyperlink" Target="http://online.zakon.kz/Document/?doc_id=36553515" TargetMode="External"/><Relationship Id="rId14" Type="http://schemas.openxmlformats.org/officeDocument/2006/relationships/hyperlink" Target="http://online.zakon.kz/Document/?doc_id=36553515" TargetMode="External"/><Relationship Id="rId30" Type="http://schemas.openxmlformats.org/officeDocument/2006/relationships/hyperlink" Target="http://online.zakon.kz/Document/?doc_id=36553515" TargetMode="External"/><Relationship Id="rId35" Type="http://schemas.openxmlformats.org/officeDocument/2006/relationships/hyperlink" Target="http://online.zakon.kz/Document/?doc_id=38080689" TargetMode="External"/><Relationship Id="rId56" Type="http://schemas.openxmlformats.org/officeDocument/2006/relationships/hyperlink" Target="http://online.zakon.kz/Document/?doc_id=31523682" TargetMode="External"/><Relationship Id="rId77" Type="http://schemas.openxmlformats.org/officeDocument/2006/relationships/hyperlink" Target="http://online.zakon.kz/Document/?doc_id=30011180" TargetMode="External"/><Relationship Id="rId100" Type="http://schemas.openxmlformats.org/officeDocument/2006/relationships/hyperlink" Target="http://online.zakon.kz/Document/?doc_id=31644641" TargetMode="External"/><Relationship Id="rId105" Type="http://schemas.openxmlformats.org/officeDocument/2006/relationships/hyperlink" Target="http://online.zakon.kz/Document/?doc_id=33796763" TargetMode="External"/><Relationship Id="rId126" Type="http://schemas.openxmlformats.org/officeDocument/2006/relationships/hyperlink" Target="http://online.zakon.kz/Document/?doc_id=30814152" TargetMode="External"/><Relationship Id="rId147" Type="http://schemas.openxmlformats.org/officeDocument/2006/relationships/hyperlink" Target="http://online.zakon.kz/Document/?doc_id=30798941" TargetMode="External"/><Relationship Id="rId8" Type="http://schemas.openxmlformats.org/officeDocument/2006/relationships/hyperlink" Target="http://online.zakon.kz/Document/?doc_id=36553515" TargetMode="External"/><Relationship Id="rId51" Type="http://schemas.openxmlformats.org/officeDocument/2006/relationships/hyperlink" Target="http://online.zakon.kz/Document/?doc_id=1030283" TargetMode="External"/><Relationship Id="rId72" Type="http://schemas.openxmlformats.org/officeDocument/2006/relationships/hyperlink" Target="http://online.zakon.kz/Document/?doc_id=1022464" TargetMode="External"/><Relationship Id="rId93" Type="http://schemas.openxmlformats.org/officeDocument/2006/relationships/hyperlink" Target="http://online.zakon.kz/Document/?doc_id=30006838" TargetMode="External"/><Relationship Id="rId98" Type="http://schemas.openxmlformats.org/officeDocument/2006/relationships/hyperlink" Target="http://online.zakon.kz/Document/?doc_id=30002102" TargetMode="External"/><Relationship Id="rId121" Type="http://schemas.openxmlformats.org/officeDocument/2006/relationships/image" Target="media/image8.gif"/><Relationship Id="rId142" Type="http://schemas.openxmlformats.org/officeDocument/2006/relationships/hyperlink" Target="http://online.zakon.kz/Document/?doc_id=35065914" TargetMode="External"/><Relationship Id="rId163" Type="http://schemas.openxmlformats.org/officeDocument/2006/relationships/footer" Target="footer3.xm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6553515" TargetMode="External"/><Relationship Id="rId46" Type="http://schemas.openxmlformats.org/officeDocument/2006/relationships/hyperlink" Target="http://online.zakon.kz/Document/?doc_id=1038581" TargetMode="External"/><Relationship Id="rId67" Type="http://schemas.openxmlformats.org/officeDocument/2006/relationships/hyperlink" Target="http://online.zakon.kz/Document/?doc_id=30039996" TargetMode="External"/><Relationship Id="rId116" Type="http://schemas.openxmlformats.org/officeDocument/2006/relationships/image" Target="https://prod-prg-document-store-api.azurewebsites.net/api/DocumentObject/GetImageAsync?ImageId=40972438" TargetMode="External"/><Relationship Id="rId137" Type="http://schemas.openxmlformats.org/officeDocument/2006/relationships/hyperlink" Target="http://online.zakon.kz/Document/?doc_id=30944415" TargetMode="External"/><Relationship Id="rId158" Type="http://schemas.openxmlformats.org/officeDocument/2006/relationships/header" Target="header1.xml"/><Relationship Id="rId20" Type="http://schemas.openxmlformats.org/officeDocument/2006/relationships/hyperlink" Target="http://online.zakon.kz/Document/?doc_id=36553515" TargetMode="External"/><Relationship Id="rId41" Type="http://schemas.openxmlformats.org/officeDocument/2006/relationships/hyperlink" Target="http://online.zakon.kz/Document/?doc_id=31644641" TargetMode="External"/><Relationship Id="rId62" Type="http://schemas.openxmlformats.org/officeDocument/2006/relationships/hyperlink" Target="http://online.zakon.kz/Document/?doc_id=31287781" TargetMode="External"/><Relationship Id="rId83" Type="http://schemas.openxmlformats.org/officeDocument/2006/relationships/hyperlink" Target="http://online.zakon.kz/Document/?doc_id=36553515" TargetMode="External"/><Relationship Id="rId88" Type="http://schemas.openxmlformats.org/officeDocument/2006/relationships/hyperlink" Target="http://online.zakon.kz/Document/?doc_id=1039535" TargetMode="External"/><Relationship Id="rId111" Type="http://schemas.openxmlformats.org/officeDocument/2006/relationships/image" Target="media/image3.gif"/><Relationship Id="rId132" Type="http://schemas.openxmlformats.org/officeDocument/2006/relationships/image" Target="https://prod-prg-document-store-api.azurewebsites.net/api/DocumentObject/GetImageAsync?ImageId=40972443" TargetMode="External"/><Relationship Id="rId153" Type="http://schemas.openxmlformats.org/officeDocument/2006/relationships/hyperlink" Target="http://online.zakon.kz/Document/?doc_id=1033876" TargetMode="External"/><Relationship Id="rId15" Type="http://schemas.openxmlformats.org/officeDocument/2006/relationships/hyperlink" Target="http://online.zakon.kz/Document/?doc_id=36553515" TargetMode="External"/><Relationship Id="rId36" Type="http://schemas.openxmlformats.org/officeDocument/2006/relationships/hyperlink" Target="http://online.zakon.kz/Document/?doc_id=33977937" TargetMode="External"/><Relationship Id="rId57" Type="http://schemas.openxmlformats.org/officeDocument/2006/relationships/hyperlink" Target="http://online.zakon.kz/Document/?doc_id=31532440" TargetMode="External"/><Relationship Id="rId106" Type="http://schemas.openxmlformats.org/officeDocument/2006/relationships/hyperlink" Target="http://online.zakon.kz/Document/?doc_id=33796763" TargetMode="External"/><Relationship Id="rId127" Type="http://schemas.openxmlformats.org/officeDocument/2006/relationships/hyperlink" Target="http://online.zakon.kz/Document/?doc_id=36553515" TargetMode="External"/><Relationship Id="rId10" Type="http://schemas.openxmlformats.org/officeDocument/2006/relationships/hyperlink" Target="http://online.zakon.kz/Document/?doc_id=36553515" TargetMode="External"/><Relationship Id="rId31" Type="http://schemas.openxmlformats.org/officeDocument/2006/relationships/hyperlink" Target="http://online.zakon.kz/Document/?doc_id=36553515" TargetMode="External"/><Relationship Id="rId52" Type="http://schemas.openxmlformats.org/officeDocument/2006/relationships/hyperlink" Target="http://online.zakon.kz/Document/?doc_id=30944415" TargetMode="External"/><Relationship Id="rId73" Type="http://schemas.openxmlformats.org/officeDocument/2006/relationships/hyperlink" Target="http://online.zakon.kz/Document/?doc_id=1039535" TargetMode="External"/><Relationship Id="rId78" Type="http://schemas.openxmlformats.org/officeDocument/2006/relationships/hyperlink" Target="http://online.zakon.kz/Document/?doc_id=31287781" TargetMode="External"/><Relationship Id="rId94" Type="http://schemas.openxmlformats.org/officeDocument/2006/relationships/hyperlink" Target="http://online.zakon.kz/Document/?doc_id=30039256" TargetMode="External"/><Relationship Id="rId99" Type="http://schemas.openxmlformats.org/officeDocument/2006/relationships/hyperlink" Target="http://online.zakon.kz/Document/?doc_id=30039476" TargetMode="External"/><Relationship Id="rId101" Type="http://schemas.openxmlformats.org/officeDocument/2006/relationships/hyperlink" Target="http://online.zakon.kz/Document/?doc_id=31335909" TargetMode="External"/><Relationship Id="rId122" Type="http://schemas.openxmlformats.org/officeDocument/2006/relationships/image" Target="https://prod-prg-document-store-api.azurewebsites.net/api/DocumentObject/GetImageAsync?ImageId=40972441" TargetMode="External"/><Relationship Id="rId143" Type="http://schemas.openxmlformats.org/officeDocument/2006/relationships/hyperlink" Target="http://online.zakon.kz/Document/?doc_id=31523682" TargetMode="External"/><Relationship Id="rId148" Type="http://schemas.openxmlformats.org/officeDocument/2006/relationships/hyperlink" Target="http://online.zakon.kz/Document/?doc_id=30031383" TargetMode="External"/><Relationship Id="rId16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553515" TargetMode="External"/><Relationship Id="rId26" Type="http://schemas.openxmlformats.org/officeDocument/2006/relationships/hyperlink" Target="http://online.zakon.kz/Document/?doc_id=36553515" TargetMode="External"/><Relationship Id="rId47" Type="http://schemas.openxmlformats.org/officeDocument/2006/relationships/hyperlink" Target="http://online.zakon.kz/Document/?doc_id=1037922" TargetMode="External"/><Relationship Id="rId68" Type="http://schemas.openxmlformats.org/officeDocument/2006/relationships/hyperlink" Target="http://online.zakon.kz/Document/?doc_id=30040160" TargetMode="External"/><Relationship Id="rId89" Type="http://schemas.openxmlformats.org/officeDocument/2006/relationships/hyperlink" Target="http://online.zakon.kz/Document/?doc_id=31405838" TargetMode="External"/><Relationship Id="rId112" Type="http://schemas.openxmlformats.org/officeDocument/2006/relationships/image" Target="https://prod-prg-document-store-api.azurewebsites.net/api/DocumentObject/GetImageAsync?ImageId=40972436" TargetMode="External"/><Relationship Id="rId133" Type="http://schemas.openxmlformats.org/officeDocument/2006/relationships/hyperlink" Target="http://online.zakon.kz/Document/?doc_id=36553515" TargetMode="External"/><Relationship Id="rId154" Type="http://schemas.openxmlformats.org/officeDocument/2006/relationships/hyperlink" Target="http://online.zakon.kz/Document/?doc_id=1022464" TargetMode="External"/><Relationship Id="rId16" Type="http://schemas.openxmlformats.org/officeDocument/2006/relationships/hyperlink" Target="http://online.zakon.kz/Document/?doc_id=36553515" TargetMode="External"/><Relationship Id="rId37" Type="http://schemas.openxmlformats.org/officeDocument/2006/relationships/hyperlink" Target="http://online.zakon.kz/Document/?doc_id=30011180" TargetMode="External"/><Relationship Id="rId58" Type="http://schemas.openxmlformats.org/officeDocument/2006/relationships/hyperlink" Target="http://online.zakon.kz/Document/?doc_id=30039457" TargetMode="External"/><Relationship Id="rId79" Type="http://schemas.openxmlformats.org/officeDocument/2006/relationships/hyperlink" Target="http://online.zakon.kz/Document/?doc_id=30039458" TargetMode="External"/><Relationship Id="rId102" Type="http://schemas.openxmlformats.org/officeDocument/2006/relationships/hyperlink" Target="http://online.zakon.kz/Document/?doc_id=30814152" TargetMode="External"/><Relationship Id="rId123" Type="http://schemas.openxmlformats.org/officeDocument/2006/relationships/hyperlink" Target="http://online.zakon.kz/Document/?doc_id=36553515" TargetMode="External"/><Relationship Id="rId144" Type="http://schemas.openxmlformats.org/officeDocument/2006/relationships/hyperlink" Target="http://online.zakon.kz/Document/?doc_id=31523682" TargetMode="External"/><Relationship Id="rId90" Type="http://schemas.openxmlformats.org/officeDocument/2006/relationships/hyperlink" Target="http://online.zakon.kz/Document/?doc_id=30006838" TargetMode="External"/><Relationship Id="rId165" Type="http://schemas.openxmlformats.org/officeDocument/2006/relationships/theme" Target="theme/theme1.xml"/><Relationship Id="rId27" Type="http://schemas.openxmlformats.org/officeDocument/2006/relationships/hyperlink" Target="http://online.zakon.kz/Document/?doc_id=36553515" TargetMode="External"/><Relationship Id="rId48" Type="http://schemas.openxmlformats.org/officeDocument/2006/relationships/hyperlink" Target="http://online.zakon.kz/Document/?doc_id=1037913" TargetMode="External"/><Relationship Id="rId69" Type="http://schemas.openxmlformats.org/officeDocument/2006/relationships/hyperlink" Target="http://online.zakon.kz/Document/?doc_id=35501914" TargetMode="External"/><Relationship Id="rId113" Type="http://schemas.openxmlformats.org/officeDocument/2006/relationships/image" Target="media/image4.gif"/><Relationship Id="rId134" Type="http://schemas.openxmlformats.org/officeDocument/2006/relationships/hyperlink" Target="http://online.zakon.kz/Document/?doc_id=30011180" TargetMode="External"/><Relationship Id="rId80" Type="http://schemas.openxmlformats.org/officeDocument/2006/relationships/hyperlink" Target="http://online.zakon.kz/Document/?doc_id=30040388" TargetMode="External"/><Relationship Id="rId155" Type="http://schemas.openxmlformats.org/officeDocument/2006/relationships/hyperlink" Target="http://online.zakon.kz/Document/?doc_id=10302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10882</Words>
  <Characters>62032</Characters>
  <Application>Microsoft Office Word</Application>
  <DocSecurity>0</DocSecurity>
  <Lines>516</Lines>
  <Paragraphs>145</Paragraphs>
  <ScaleCrop>false</ScaleCrop>
  <Company/>
  <LinksUpToDate>false</LinksUpToDate>
  <CharactersWithSpaces>72769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5.03-105-2013 «Изготовление изделий из неопорбетона»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2021-08-25T16:58:00Z</dcterms:created>
  <dcterms:modified xsi:type="dcterms:W3CDTF">2021-08-25T16:58:00Z</dcterms:modified>
</cp:coreProperties>
</file>